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827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FF5827">
      <w:pPr>
        <w:pStyle w:val="ConsPlusNormal"/>
        <w:ind w:left="540"/>
        <w:jc w:val="both"/>
      </w:pPr>
      <w:r>
        <w:t>"ГОСТ Р ИСО 3039-2011. Национальный стандарт Российской Федерации. Картон гофрированный. Метод определения массы составляющих слоев площадью 1 м2 после разделения"</w:t>
      </w:r>
    </w:p>
    <w:p w:rsidR="00000000" w:rsidRDefault="00FF5827">
      <w:pPr>
        <w:pStyle w:val="ConsPlusNormal"/>
        <w:ind w:left="540"/>
        <w:jc w:val="both"/>
      </w:pPr>
      <w:r>
        <w:t>(утв. и введен в действие Приказом Росстандарта от 28.11.2011 N 624-ст)</w:t>
      </w:r>
    </w:p>
    <w:p w:rsidR="00000000" w:rsidRDefault="00FF5827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FF5827">
      <w:pPr>
        <w:pStyle w:val="ConsPlusNormal"/>
        <w:ind w:left="540"/>
        <w:jc w:val="both"/>
      </w:pPr>
      <w:r>
        <w:t>М.: Стандартинформ, 2012</w:t>
      </w:r>
    </w:p>
    <w:p w:rsidR="00000000" w:rsidRDefault="00FF5827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FF5827">
      <w:pPr>
        <w:pStyle w:val="ConsPlusNormal"/>
        <w:ind w:left="540"/>
        <w:jc w:val="both"/>
      </w:pPr>
      <w:r>
        <w:t>Документ введен в действие с 1 марта 2012 года.</w:t>
      </w:r>
    </w:p>
    <w:p w:rsidR="00000000" w:rsidRDefault="00FF5827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FF5827">
      <w:pPr>
        <w:pStyle w:val="ConsPlusNormal"/>
        <w:ind w:firstLine="540"/>
        <w:jc w:val="both"/>
        <w:outlineLvl w:val="0"/>
      </w:pPr>
    </w:p>
    <w:p w:rsidR="00000000" w:rsidRDefault="00FF5827">
      <w:pPr>
        <w:pStyle w:val="ConsPlusNormal"/>
        <w:jc w:val="right"/>
        <w:outlineLvl w:val="0"/>
      </w:pPr>
      <w:r>
        <w:t>Утвержден и введен в действие</w:t>
      </w:r>
    </w:p>
    <w:p w:rsidR="00000000" w:rsidRDefault="00FF5827">
      <w:pPr>
        <w:pStyle w:val="ConsPlusNormal"/>
        <w:jc w:val="right"/>
      </w:pPr>
      <w:r>
        <w:t>Приказом Федерального</w:t>
      </w:r>
    </w:p>
    <w:p w:rsidR="00000000" w:rsidRDefault="00FF5827">
      <w:pPr>
        <w:pStyle w:val="ConsPlusNormal"/>
        <w:jc w:val="right"/>
      </w:pPr>
      <w:r>
        <w:t>агентства по техническому</w:t>
      </w:r>
    </w:p>
    <w:p w:rsidR="00000000" w:rsidRDefault="00FF5827">
      <w:pPr>
        <w:pStyle w:val="ConsPlusNormal"/>
        <w:jc w:val="right"/>
      </w:pPr>
      <w:r>
        <w:t>регулированию и метрологии</w:t>
      </w:r>
    </w:p>
    <w:p w:rsidR="00000000" w:rsidRDefault="00FF5827">
      <w:pPr>
        <w:pStyle w:val="ConsPlusNormal"/>
        <w:jc w:val="right"/>
      </w:pPr>
      <w:r>
        <w:t>от 28 ноября 2011 г. N 624-ст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Title"/>
        <w:jc w:val="center"/>
      </w:pPr>
      <w:r>
        <w:t>НАЦИОНАЛЬНЫЙ СТАНДАРТ РОССИЙСКОЙ ФЕДЕРАЦИИ</w:t>
      </w:r>
    </w:p>
    <w:p w:rsidR="00000000" w:rsidRDefault="00FF5827">
      <w:pPr>
        <w:pStyle w:val="ConsPlusTitle"/>
        <w:jc w:val="center"/>
      </w:pPr>
    </w:p>
    <w:p w:rsidR="00000000" w:rsidRDefault="00FF5827">
      <w:pPr>
        <w:pStyle w:val="ConsPlusTitle"/>
        <w:jc w:val="center"/>
      </w:pPr>
      <w:r>
        <w:t>КАРТОН ГОФРИРОВАННЫЙ</w:t>
      </w:r>
    </w:p>
    <w:p w:rsidR="00000000" w:rsidRDefault="00FF5827">
      <w:pPr>
        <w:pStyle w:val="ConsPlusTitle"/>
        <w:jc w:val="center"/>
      </w:pPr>
    </w:p>
    <w:p w:rsidR="00000000" w:rsidRDefault="00FF5827">
      <w:pPr>
        <w:pStyle w:val="ConsPlusTitle"/>
        <w:jc w:val="center"/>
      </w:pPr>
      <w:r>
        <w:t>МЕТОД ОПРЕДЕЛЕНИЯ МАССЫ СОСТАВЛЯЮЩИХ СЛОЕВ</w:t>
      </w:r>
    </w:p>
    <w:p w:rsidR="00000000" w:rsidRDefault="00FF5827">
      <w:pPr>
        <w:pStyle w:val="ConsPlusTitle"/>
        <w:jc w:val="center"/>
      </w:pPr>
      <w:r>
        <w:t>ПЛОЩАДЬЮ 1 м2 ПОСЛЕ РАЗДЕЛЕНИЯ</w:t>
      </w:r>
    </w:p>
    <w:p w:rsidR="00000000" w:rsidRDefault="00FF5827">
      <w:pPr>
        <w:pStyle w:val="ConsPlusTitle"/>
        <w:jc w:val="center"/>
      </w:pPr>
    </w:p>
    <w:p w:rsidR="00000000" w:rsidRDefault="00FF5827">
      <w:pPr>
        <w:pStyle w:val="ConsPlusTitle"/>
        <w:jc w:val="center"/>
      </w:pPr>
      <w:r>
        <w:t>Corrugated fibreboard. Determination of grammage</w:t>
      </w:r>
    </w:p>
    <w:p w:rsidR="00000000" w:rsidRDefault="00FF5827">
      <w:pPr>
        <w:pStyle w:val="ConsPlusTitle"/>
        <w:jc w:val="center"/>
      </w:pPr>
      <w:r>
        <w:t>of the component papers after separation</w:t>
      </w:r>
    </w:p>
    <w:p w:rsidR="00000000" w:rsidRDefault="00FF5827">
      <w:pPr>
        <w:pStyle w:val="ConsPlusTitle"/>
        <w:jc w:val="center"/>
      </w:pPr>
    </w:p>
    <w:p w:rsidR="00000000" w:rsidRDefault="00FF5827">
      <w:pPr>
        <w:pStyle w:val="ConsPlusTitle"/>
        <w:jc w:val="center"/>
      </w:pPr>
      <w:r>
        <w:t>ISO 3039:2010</w:t>
      </w:r>
    </w:p>
    <w:p w:rsidR="00000000" w:rsidRDefault="00FF5827">
      <w:pPr>
        <w:pStyle w:val="ConsPlusTitle"/>
        <w:jc w:val="center"/>
      </w:pPr>
      <w:r>
        <w:t>Corrugated</w:t>
      </w:r>
      <w:r>
        <w:t xml:space="preserve"> fibreboard - Determination of grammage</w:t>
      </w:r>
    </w:p>
    <w:p w:rsidR="00000000" w:rsidRDefault="00FF5827">
      <w:pPr>
        <w:pStyle w:val="ConsPlusTitle"/>
        <w:jc w:val="center"/>
      </w:pPr>
      <w:r>
        <w:t>of the component papers after separation</w:t>
      </w:r>
    </w:p>
    <w:p w:rsidR="00000000" w:rsidRDefault="00FF5827">
      <w:pPr>
        <w:pStyle w:val="ConsPlusTitle"/>
        <w:jc w:val="center"/>
      </w:pPr>
      <w:r>
        <w:t>(IDT)</w:t>
      </w:r>
    </w:p>
    <w:p w:rsidR="00000000" w:rsidRDefault="00FF5827">
      <w:pPr>
        <w:pStyle w:val="ConsPlusTitle"/>
        <w:jc w:val="center"/>
      </w:pPr>
    </w:p>
    <w:p w:rsidR="00000000" w:rsidRDefault="00FF5827">
      <w:pPr>
        <w:pStyle w:val="ConsPlusTitle"/>
        <w:jc w:val="center"/>
      </w:pPr>
      <w:r>
        <w:t>ГОСТ Р ИСО 3039-2011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</w:pPr>
      <w:r>
        <w:t>Группа К79</w:t>
      </w:r>
    </w:p>
    <w:p w:rsidR="00000000" w:rsidRDefault="00FF5827">
      <w:pPr>
        <w:pStyle w:val="ConsPlusNormal"/>
        <w:jc w:val="right"/>
      </w:pPr>
    </w:p>
    <w:p w:rsidR="00000000" w:rsidRDefault="00FF5827">
      <w:pPr>
        <w:pStyle w:val="ConsPlusNormal"/>
        <w:jc w:val="right"/>
      </w:pPr>
      <w:r>
        <w:t>ОКС 85.060</w:t>
      </w:r>
    </w:p>
    <w:p w:rsidR="00000000" w:rsidRDefault="00FF5827">
      <w:pPr>
        <w:pStyle w:val="ConsPlusNormal"/>
        <w:jc w:val="right"/>
      </w:pPr>
    </w:p>
    <w:p w:rsidR="00000000" w:rsidRDefault="00FF5827">
      <w:pPr>
        <w:pStyle w:val="ConsPlusNormal"/>
        <w:jc w:val="right"/>
      </w:pPr>
      <w:bookmarkStart w:id="0" w:name="Par36"/>
      <w:bookmarkEnd w:id="0"/>
      <w:r>
        <w:t>Дата введения</w:t>
      </w:r>
    </w:p>
    <w:p w:rsidR="00000000" w:rsidRDefault="00FF5827">
      <w:pPr>
        <w:pStyle w:val="ConsPlusNormal"/>
        <w:jc w:val="right"/>
      </w:pPr>
      <w:r>
        <w:t>1 марта 2012 года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Предисловие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Р 1.0-2004 "Стандартизация в Россий</w:t>
      </w:r>
      <w:r>
        <w:t>ской Федерации. Основные положения".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Сведения о стандарте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1. Подготовлен Открытым акционерным обществом "Всероссийский научно-исследовательский институт целлюлозно-бумажной промышленности" (ОАО "ВНИИБ") на основе собственного аутентичного перевода на рус</w:t>
      </w:r>
      <w:r>
        <w:t>ский язык стандарта, указанного в пункте 4.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2. Внесен Техническим комитетом по стандартизации ТК 77 "Целлюлоза, бумага, картон и материалы промышленно-технические разного назначения".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lastRenderedPageBreak/>
        <w:t>3. Утвержден и введен в действие Приказом Федерального агентства по техн</w:t>
      </w:r>
      <w:r>
        <w:t>ическому регулированию и метрологии от 28 ноября 2011 г. N 624-ст.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1" w:name="Par48"/>
      <w:bookmarkEnd w:id="1"/>
      <w:r>
        <w:t>4. Настоящий стандарт идентичен международному стандарту ИСО 3039:2010 "Картон гофрированный. Определение массы 1 м2 составляющих слоев после разделения" (ISO 3039:2010 "Corrugate</w:t>
      </w:r>
      <w:r>
        <w:t>d fibreboard - Determination of grammage of the component papers after separation").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Наименование настоящего стандарта изменено относительно наименования указанного международного стандарта для приведения в соответствие с ГОСТ Р 1.5 (пункт 3.5).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При примен</w:t>
      </w:r>
      <w:r>
        <w:t>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международные стандарты, сведения о которых приведены в дополнительном Приложении ДА.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 xml:space="preserve">5. Введен </w:t>
      </w:r>
      <w:r>
        <w:t>впервые.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</w:t>
      </w:r>
      <w:r>
        <w:t>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</w:t>
      </w:r>
      <w:r>
        <w:t>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 xml:space="preserve">Настоящий стандарт распространяется на картон гофрированный и устанавливает метод определения </w:t>
      </w:r>
      <w:r>
        <w:t>массы составляющих его слоев площадью 1 м2 после их разделения.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2. Нормативные ссылки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международные стандарты: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ИСО 186 Бумага и картон. Отбор проб для определения среднего качества (ISO 1</w:t>
      </w:r>
      <w:r>
        <w:t>86, Paper and board - Sampling to determine average quality)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ИСО 187 Бумага, картон и целлюлоза. Стандартная атмосфера для кондиционирования и испытания и методика контроля за атмосферой и условиями кондиционирования образцов (ISO 187, Paper, board and pul</w:t>
      </w:r>
      <w:r>
        <w:t>ps. Standard atmosphere for conditioning and testing and procedure for monitoring the atmosphere and conditioning of samples)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3. Термины и определения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3.1. Масса бумаги или картона (mass per unit area), граммаж &lt;*&gt; (grammage): масса бумаги или картона площадью 1 м2, измеренная методом, установленным в стандарте.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&lt;*&gt; Термин "граммаж" ("grammage") применяется в международно</w:t>
      </w:r>
      <w:r>
        <w:t>й практике.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[ИСО 536:1995 [1, статья 3.1]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Примечание. Массу бумаги или картона площадью 1 м2 выражают в граммах на квадратный метр.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lastRenderedPageBreak/>
        <w:t xml:space="preserve">3.2. Картон гофрированный (corrugated fibreboard): картон, состоящий из одного или нескольких склеенных между собой слоев </w:t>
      </w:r>
      <w:r>
        <w:t>гофрированной бумаги и плоских слоев картона.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3.3. Слой гофрированного картона (layer): компонент (составная часть) гофрированного картона, состоящий из гофрированной бумаги и плоского слоя картона.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3.4. Плоский слой картона (facing): вид картона, использу</w:t>
      </w:r>
      <w:r>
        <w:t>емого в качестве плоского слоя гофрированного картона.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[ИСО 4046-4:2002 [2, статья 4.66]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3.5. Гофрированный слой (fluting medium, corrugating medium): гофрированные бумага или картон, используемые при изготовлении гофрированного картона.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3.6. Наружный слой</w:t>
      </w:r>
      <w:r>
        <w:t xml:space="preserve"> гофрированного картона (linerboard): картон, используемый в качестве наружного слоя гофрированного картона при его изготовлении.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[ИСО 4046-4:2002 [2, статья 4.105]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4. Сущность метода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Сущность метода заключается в разделении слоя гофрированного картона н</w:t>
      </w:r>
      <w:r>
        <w:t>а составляющие слои и измерении массы каждого составляющего слоя площадью 1 м2 (далее - масса 1 м2) после выдерживания в воде, последующей сушки и кондиционирования.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5. Реактивы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bookmarkStart w:id="2" w:name="Par89"/>
      <w:bookmarkEnd w:id="2"/>
      <w:r>
        <w:t>5.1. Вода температурой 20 °C - 30 °C или горячая вода температурой</w:t>
      </w:r>
      <w:r>
        <w:t xml:space="preserve"> не более 60 °C.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6. Аппаратура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Используют обычное лабораторное оборудование.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3" w:name="Par94"/>
      <w:bookmarkEnd w:id="3"/>
      <w:r>
        <w:t>6.1. Емкость достаточного размера с водой температурой 20 °C - 30 °C или с горячей водой (не более 60 °C) для погружения в нее образцов гофрированного картона для его разделения на составляющие слои.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4" w:name="Par95"/>
      <w:bookmarkEnd w:id="4"/>
      <w:r>
        <w:t>6.2. Приспособление для нарезания образцов кру</w:t>
      </w:r>
      <w:r>
        <w:t>глой формы диаметром (112,8 +/- 0,5) мм или квадратной формы со стороной квадрата (100 +/- 0,5) мм.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5" w:name="Par96"/>
      <w:bookmarkEnd w:id="5"/>
      <w:r>
        <w:t>6.3. Шкаф сушильный, поддерживающий температуру воздуха (105 +/- 2) °C и имеющий вентиляцию.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6" w:name="Par97"/>
      <w:bookmarkEnd w:id="6"/>
      <w:r>
        <w:t>6.4. Весы с погрешностью взвешивания не бол</w:t>
      </w:r>
      <w:r>
        <w:t>ее +/- 0,001 г для измерения массы 1 м2 составляющих слоев гофрированного картона с точностью до трех значащих цифр &lt;*&gt;. Во время взвешивания образцов для испытаний весы должны быть защищены от воздушных потоков.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 xml:space="preserve">&lt;*&gt; В том </w:t>
      </w:r>
      <w:r>
        <w:t>числе для измерения массы составляющих слоев картона с микрогофрой при значении массы 1 м2 отдельного слоя менее 100 г.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7. Отбор проб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7.1. Отбор проб - по ИСО 186. Поверхность образца должна быть без повреждений. Образец картона должен быть представитель</w:t>
      </w:r>
      <w:r>
        <w:t>ным для всей партии картона. Образец должен быть отобран от партии картона без печати или покрытия.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bookmarkStart w:id="7" w:name="Par105"/>
      <w:bookmarkEnd w:id="7"/>
      <w:r>
        <w:t>8. Подготовка образцов гофрированного картона к испытанию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lastRenderedPageBreak/>
        <w:t xml:space="preserve">С помощью приспособления (см. 6.2) из любой пробы нарезают образцы картона площадью </w:t>
      </w:r>
      <w:r>
        <w:t>не менее 10000 мм2 (100 см2) круглой формы диаметром (112,8 +/- 0,5) мм или квадратной формы со стороной квадрата не менее (100 +/- 0,5) мм в количестве, необходимом для определения массы 1 м2 составляющих слоев в образце картона.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9. Проведение испытания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9.1. Разделение составляющих слоев гофрированного картона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Образец погружают в емкость с водой (см. 6.1) на время, достаточное, чтобы составляющие слои гофрированного картона разделились самопроизвольно или с легким усилием.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Гофрированный картон должен ост</w:t>
      </w:r>
      <w:r>
        <w:t>аваться полностью погруженным в воду. Для этого на поверхность картона можно положить легкий груз. При необходимости в целях лучшего разделения слоев вода (см. 5.1) может быть нагрета до температуры не более 60 °C.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 xml:space="preserve">При разделении слоев необходимо следить, </w:t>
      </w:r>
      <w:r>
        <w:t>чтобы на прилегающих слоях оставалось минимальное количество волокон с другого прилегающего слоя.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Время погружения в воду определяют в зависимости от видов гофрированного картона, имеющих разную водостойкость клеевого соединения. Время погружения может сос</w:t>
      </w:r>
      <w:r>
        <w:t>тавлять от нескольких минут до нескольких часов. Время погружения рекомендуется определять после предварительного испытания образцов.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Для удаления избытка воды может быть использована фильтровальная бумага.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9.2. Удаление клеевых частиц с поверхности слоев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Удаляют с влажной поверхности составляющего слоя клеевые частицы, которые не адсорбировались на поверхности листа. Полное удаление адсорбированных клеевых частиц невозможно. Необходимо избегать удаления волокон бумаги или картона с поверхности листа.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 xml:space="preserve">9.3. </w:t>
      </w:r>
      <w:r>
        <w:t>Сушка разделенных слоев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Сушат разделенные слои (картон для плоских слоев и бумагу для гофрирования) в сушильном шкафу при температуре (105 +/- 2) °C (см. 6.3) до постоянной массы.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8" w:name="Par121"/>
      <w:bookmarkEnd w:id="8"/>
      <w:r>
        <w:t>9.4. Кондиционирование разделенных слоев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После сушки разделенные</w:t>
      </w:r>
      <w:r>
        <w:t xml:space="preserve"> слои кондиционируют в соответствии с ИСО 187. Время кондиционирования и режимы указывают в стандартах на конкретный вид продукции.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9" w:name="Par123"/>
      <w:bookmarkEnd w:id="9"/>
      <w:r>
        <w:t>9.5. Подготовка составляющих слоев к испытанию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После разделения составляющих слоев, очистки от клеевых частиц, в</w:t>
      </w:r>
      <w:r>
        <w:t>ысушивания и кондиционирования из них нарезают испытуемые образцы площадью 10000 мм2 (100 см2) с помощью приспособления (см. 6.2) с размерами, указанными в разделе 8. Перед нарезанием гофрированные образцы разглаживают.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9.6. Измерение массы 1 м2 слоя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Измер</w:t>
      </w:r>
      <w:r>
        <w:t>яют массу каждого испытуемого образца, взвешивая образец с точностью до 0,001 г (см. 6.4). Взвешивание испытуемых образцов проводят в тех же атмосферных условиях, при которых проводилось кондиционирование (см. 9.4).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Примечание. Для определения массы клеево</w:t>
      </w:r>
      <w:r>
        <w:t>го слоя необходимо из массы гофрированного картона вычесть массу составляющих слоев перед разделением. Образцы кондиционируют и испытывают в атмосферных условиях в соответствии с ИСО 187.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lastRenderedPageBreak/>
        <w:t>10. Обработка результатов испытания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Массу составляющего слоя площа</w:t>
      </w:r>
      <w:r>
        <w:t>дью 1 м2, г/м2, вычисляют по формуле</w:t>
      </w:r>
    </w:p>
    <w:p w:rsidR="00000000" w:rsidRDefault="00FF5827">
      <w:pPr>
        <w:pStyle w:val="ConsPlusNormal"/>
        <w:ind w:firstLine="540"/>
        <w:jc w:val="both"/>
      </w:pPr>
    </w:p>
    <w:p w:rsidR="00000000" w:rsidRDefault="00B415F1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639445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827">
        <w:t>,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где m - масса испытуемого образца составляющего слоя после нарезания (см. 9.5), г;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A - площадь испытуемого образца составляющего слоя после нарезания (см. 9.5), мм2.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За результат и</w:t>
      </w:r>
      <w:r>
        <w:t>спытания составляющего слоя принимают среднеарифметическое значение из пяти определений массы каждого слоя площадью 1 м2, округленное до третьей значащей цифры.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Определяют стандартное отклонение с точностью до второй значащей цифры.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1"/>
      </w:pPr>
      <w:r>
        <w:t>11. Протокол испытания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t>Протокол испытания должен включать в себя следующую информацию: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a) ссылку на настоящий стандарт;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b) дату и место проведения испытания;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c) описание и идентификацию испытуемого картона;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d) описание и идентификацию составляющих слоев;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e) температуру воды при погружении образца, продолжительность погружения;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f) условия кондиционирования;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g) среднеарифметическое значение массы каждого составляющего слоя площадью 1 м2, г;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 xml:space="preserve">h) стандартное отклонение массы каждого составляющего слоя площадью </w:t>
      </w:r>
      <w:r>
        <w:t>1 м2, г;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i) любое отклонение от настоящего стандарта, которое может повлиять на результат испытания.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  <w:outlineLvl w:val="0"/>
      </w:pPr>
      <w:r>
        <w:t>Приложение A</w:t>
      </w:r>
    </w:p>
    <w:p w:rsidR="00000000" w:rsidRDefault="00FF5827">
      <w:pPr>
        <w:pStyle w:val="ConsPlusNormal"/>
        <w:jc w:val="right"/>
      </w:pPr>
      <w:r>
        <w:t>(справочное)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</w:pPr>
      <w:r>
        <w:t>ТОЧНОСТЬ МЕТОДА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  <w:outlineLvl w:val="1"/>
      </w:pPr>
      <w:r>
        <w:t>A.1. Введение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В январе 2009 года ТК 6 были проведены межлабораторные испытания по данному методу, в которы</w:t>
      </w:r>
      <w:r>
        <w:t>х принимали участие 18 лабораторий из 10 различных стран. Три лаборатории не сообщили результатов испытаний для трехслойного гофрированного картона, и две лаборатории проводили испытания не в соответствии с настоящим стандартом. Это означает, что расчеты п</w:t>
      </w:r>
      <w:r>
        <w:t>о точности метода проводились по данным из 13 лабораторий.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Четыре лаборатории не сообщили результатов испытаний для семислойного гофрированного картона и три лаборатории проводили испытания не в соответствии с настоящим стандартом. Это означает, что расчет</w:t>
      </w:r>
      <w:r>
        <w:t xml:space="preserve">ы по точности метода проводились по данным из 11 лабораторий, а для бумаги для гофрирования - </w:t>
      </w:r>
      <w:r>
        <w:lastRenderedPageBreak/>
        <w:t>только из 10.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Были проанализированы восемь проб трехслойного гофрированного картона и одна проба семислойного картона. Для каждой пробы масса 1 м2, г, была опреде</w:t>
      </w:r>
      <w:r>
        <w:t>лена по пяти испытуемым образцам от каждого слоя.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Процесс разделения гофрированного картона на слои может вызвать изменения в измеряемых массах, что связано с используемыми клеевыми составами, свойствами слоев или другими факторами. Эти изменения, связанны</w:t>
      </w:r>
      <w:r>
        <w:t>е с использованными материалами для производства картона, возникали, вероятно, в большинстве лабораторий и не были включены в результаты испытаний.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Таким образом, по сути эти испытания способны дать очень ограниченную точность для истинного значения первон</w:t>
      </w:r>
      <w:r>
        <w:t>ачальной массы испытуемых слоев. Однако они могут дать полезную информацию по оценке этой массы. Расчеты точности проводились в соответствии с [4] и [5].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Стандартное отклонение сходимости, представленное в таблицах A.1 и A.2, - это объединенное стандартное отклонение. Оно вычислено как среднеквадратичный корень стандартного отклонения результатов испытаний во всех лабораториях. Это отличается от общепринято</w:t>
      </w:r>
      <w:r>
        <w:t>го определения сходимости. В [3] представлена максимальная разница между пределами сходимости и воспроизводимости, которую можно ожидать в 19 из 20 случаев, когда сравнивают два результата испытания для материалов, подобных описанным в сравнимых условиях и</w:t>
      </w:r>
      <w:r>
        <w:t>спытаний. Эти оценки могут быть недействительными для различных материалов или различных условий испытаний.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>Пределы сходимости и воспроизводимости рассчитаны умножением стандартного отклонения сходимости и воспроизводимости на 2,77.</w:t>
      </w:r>
    </w:p>
    <w:p w:rsidR="00000000" w:rsidRDefault="00FF5827">
      <w:pPr>
        <w:pStyle w:val="ConsPlusNormal"/>
        <w:spacing w:before="200"/>
        <w:ind w:firstLine="540"/>
        <w:jc w:val="both"/>
      </w:pPr>
      <w:r>
        <w:t xml:space="preserve">Примечание. </w:t>
      </w:r>
      <w:r w:rsidR="00B415F1">
        <w:rPr>
          <w:noProof/>
          <w:position w:val="-9"/>
        </w:rPr>
        <w:drawing>
          <wp:inline distT="0" distB="0" distL="0" distR="0">
            <wp:extent cx="920115" cy="2355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условии, что результаты испытаний имели нормальное распределение и стандартное отклонение S, что базировалось на большом числе испытаний.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  <w:outlineLvl w:val="1"/>
      </w:pPr>
      <w:r>
        <w:t>A.2. Сходимость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</w:pPr>
      <w:r>
        <w:t>Таблица A.1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</w:pPr>
      <w:bookmarkStart w:id="10" w:name="Par176"/>
      <w:bookmarkEnd w:id="10"/>
      <w:r>
        <w:t>Оценка сходимости метода испытаний</w:t>
      </w:r>
    </w:p>
    <w:p w:rsidR="00000000" w:rsidRDefault="00FF5827">
      <w:pPr>
        <w:pStyle w:val="ConsPlusNormal"/>
        <w:jc w:val="center"/>
      </w:pPr>
      <w:r>
        <w:t>для трехсл</w:t>
      </w:r>
      <w:r>
        <w:t>ойного гофрированного картона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060"/>
        <w:gridCol w:w="1134"/>
        <w:gridCol w:w="1417"/>
        <w:gridCol w:w="1843"/>
        <w:gridCol w:w="1985"/>
        <w:gridCol w:w="1701"/>
      </w:tblGrid>
      <w:tr w:rsidR="00000000"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lastRenderedPageBreak/>
              <w:t>Проба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Число лабораторий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Среднее значение, г/м2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Стандартное отклонение </w:t>
            </w:r>
            <w:r w:rsidR="00B415F1">
              <w:rPr>
                <w:noProof/>
                <w:position w:val="-7"/>
              </w:rPr>
              <w:drawing>
                <wp:inline distT="0" distB="0" distL="0" distR="0">
                  <wp:extent cx="179705" cy="2298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Коэффициент вариации </w:t>
            </w:r>
            <w:r w:rsidR="00B415F1">
              <w:rPr>
                <w:noProof/>
                <w:position w:val="-8"/>
              </w:rPr>
              <w:drawing>
                <wp:inline distT="0" distB="0" distL="0" distR="0">
                  <wp:extent cx="274955" cy="2298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Предел сходимости r, г/м2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8,3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9,0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3,9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5,5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4,5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4,6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7,2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5,0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5,3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3,7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lastRenderedPageBreak/>
              <w:t>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3,9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2,3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H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5,0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7,0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6,1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7,3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8,7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8,4</w:t>
            </w:r>
          </w:p>
        </w:tc>
      </w:tr>
    </w:tbl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</w:pPr>
      <w:r>
        <w:t>Таблица A.2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</w:pPr>
      <w:bookmarkStart w:id="11" w:name="Par340"/>
      <w:bookmarkEnd w:id="11"/>
      <w:r>
        <w:t>Оценка сходимости метода испытаний</w:t>
      </w:r>
    </w:p>
    <w:p w:rsidR="00000000" w:rsidRDefault="00FF5827">
      <w:pPr>
        <w:pStyle w:val="ConsPlusNormal"/>
        <w:jc w:val="center"/>
      </w:pPr>
      <w:r>
        <w:t>для семислойного гофрированного картона</w:t>
      </w:r>
    </w:p>
    <w:p w:rsidR="00000000" w:rsidRDefault="00FF582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343"/>
        <w:gridCol w:w="1134"/>
        <w:gridCol w:w="1417"/>
        <w:gridCol w:w="1843"/>
        <w:gridCol w:w="1985"/>
        <w:gridCol w:w="1701"/>
      </w:tblGrid>
      <w:tr w:rsidR="0000000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Проба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Число лабораторий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Среднее значение, г/м2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Стандартное отклонение </w:t>
            </w:r>
            <w:r w:rsidR="00B415F1">
              <w:rPr>
                <w:noProof/>
                <w:position w:val="-7"/>
              </w:rPr>
              <w:drawing>
                <wp:inline distT="0" distB="0" distL="0" distR="0">
                  <wp:extent cx="179705" cy="2298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Коэффициент вариации </w:t>
            </w:r>
            <w:r w:rsidR="00B415F1">
              <w:rPr>
                <w:noProof/>
                <w:position w:val="-8"/>
              </w:rPr>
              <w:drawing>
                <wp:inline distT="0" distB="0" distL="0" distR="0">
                  <wp:extent cx="274955" cy="2298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Предел сходимости r, г/м2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F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14,2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8,9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2-й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7,1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</w:t>
            </w:r>
            <w:r>
              <w:t xml:space="preserve">га для </w:t>
            </w:r>
            <w:r>
              <w:lastRenderedPageBreak/>
              <w:t>гофрирования-2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10,9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3-й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7,9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9,2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13,9</w:t>
            </w:r>
          </w:p>
        </w:tc>
      </w:tr>
    </w:tbl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  <w:outlineLvl w:val="1"/>
      </w:pPr>
      <w:r>
        <w:t>A.3. Сходимость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</w:pPr>
      <w:r>
        <w:t>Таблица A.3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</w:pPr>
      <w:r>
        <w:t>Оценка воспроизводимости метода испытаний</w:t>
      </w:r>
    </w:p>
    <w:p w:rsidR="00000000" w:rsidRDefault="00FF5827">
      <w:pPr>
        <w:pStyle w:val="ConsPlusNormal"/>
        <w:jc w:val="center"/>
      </w:pPr>
      <w:r>
        <w:t>для трехслойного гофрированного картона</w:t>
      </w:r>
    </w:p>
    <w:p w:rsidR="00000000" w:rsidRDefault="00FF582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060"/>
        <w:gridCol w:w="1134"/>
        <w:gridCol w:w="1417"/>
        <w:gridCol w:w="1843"/>
        <w:gridCol w:w="1985"/>
        <w:gridCol w:w="1701"/>
      </w:tblGrid>
      <w:tr w:rsidR="00000000"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Проба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Число лабораторий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Среднее значение, г/м2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Стандартное отклонение </w:t>
            </w:r>
            <w:r w:rsidR="00B415F1">
              <w:rPr>
                <w:noProof/>
                <w:position w:val="-7"/>
              </w:rPr>
              <w:drawing>
                <wp:inline distT="0" distB="0" distL="0" distR="0">
                  <wp:extent cx="179705" cy="2298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Коэффициент вариации </w:t>
            </w:r>
            <w:r w:rsidR="00B415F1">
              <w:rPr>
                <w:noProof/>
                <w:position w:val="-8"/>
              </w:rPr>
              <w:drawing>
                <wp:inline distT="0" distB="0" distL="0" distR="0">
                  <wp:extent cx="274955" cy="2298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Предел сходимости r, г/м2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10,8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11,4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16,0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7,8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8,9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10,3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9,7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11,7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4,0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10,5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6,8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8,3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10,1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6,1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5,4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H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7,4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8,8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16,5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9,4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14,8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10,3</w:t>
            </w:r>
          </w:p>
        </w:tc>
      </w:tr>
    </w:tbl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</w:pPr>
      <w:r>
        <w:t>Таблица A.4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</w:pPr>
      <w:r>
        <w:t>Оценка воспроизводимости метода испытаний</w:t>
      </w:r>
    </w:p>
    <w:p w:rsidR="00000000" w:rsidRDefault="00FF5827">
      <w:pPr>
        <w:pStyle w:val="ConsPlusNormal"/>
        <w:jc w:val="center"/>
      </w:pPr>
      <w:r>
        <w:lastRenderedPageBreak/>
        <w:t>для семислойного гофрированного картона</w:t>
      </w:r>
    </w:p>
    <w:p w:rsidR="00000000" w:rsidRDefault="00FF582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343"/>
        <w:gridCol w:w="1134"/>
        <w:gridCol w:w="1418"/>
        <w:gridCol w:w="1843"/>
        <w:gridCol w:w="1984"/>
        <w:gridCol w:w="1701"/>
      </w:tblGrid>
      <w:tr w:rsidR="00000000"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Проба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Число лабораторий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Среднее значение, г/м2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Стандартное отклонение </w:t>
            </w:r>
            <w:r w:rsidR="00B415F1">
              <w:rPr>
                <w:noProof/>
                <w:position w:val="-7"/>
              </w:rPr>
              <w:drawing>
                <wp:inline distT="0" distB="0" distL="0" distR="0">
                  <wp:extent cx="179705" cy="2298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 xml:space="preserve">Коэффициент вариации </w:t>
            </w:r>
            <w:r w:rsidR="00B415F1">
              <w:rPr>
                <w:noProof/>
                <w:position w:val="-8"/>
              </w:rPr>
              <w:drawing>
                <wp:inline distT="0" distB="0" distL="0" distR="0">
                  <wp:extent cx="274955" cy="2298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Предел сходимости r, г/м2</w:t>
            </w:r>
          </w:p>
        </w:tc>
      </w:tr>
      <w:tr w:rsidR="00000000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F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верхний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46,9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48,6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2-й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19,1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21,3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3-й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13,8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бумага для гофрирования-3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47,3</w:t>
            </w:r>
          </w:p>
        </w:tc>
      </w:tr>
      <w:tr w:rsidR="00000000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ind w:firstLine="540"/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нижний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F5827">
            <w:pPr>
              <w:pStyle w:val="ConsPlusNormal"/>
              <w:jc w:val="center"/>
            </w:pPr>
            <w:r>
              <w:t>29,0</w:t>
            </w:r>
          </w:p>
        </w:tc>
      </w:tr>
    </w:tbl>
    <w:p w:rsidR="00000000" w:rsidRDefault="00FF5827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  <w:outlineLvl w:val="0"/>
      </w:pPr>
      <w:r>
        <w:t>Приложение ДА</w:t>
      </w:r>
    </w:p>
    <w:p w:rsidR="00000000" w:rsidRDefault="00FF5827">
      <w:pPr>
        <w:pStyle w:val="ConsPlusNormal"/>
        <w:jc w:val="right"/>
      </w:pPr>
      <w:r>
        <w:t>(справочное)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</w:pPr>
      <w:bookmarkStart w:id="12" w:name="Par621"/>
      <w:bookmarkEnd w:id="12"/>
      <w:r>
        <w:t>СВЕДЕНИЯ О СООТВЕТСТВИИ ССЫЛОЧНЫХ МЕЖДУНАРОДНЫХ</w:t>
      </w:r>
    </w:p>
    <w:p w:rsidR="00000000" w:rsidRDefault="00FF5827">
      <w:pPr>
        <w:pStyle w:val="ConsPlusNormal"/>
        <w:jc w:val="center"/>
      </w:pPr>
      <w:r>
        <w:t>СТАНДАРТОВ ССЫЛОЧНЫМ НАЦИОНАЛЬНЫМ СТАНДАРТАМ</w:t>
      </w:r>
    </w:p>
    <w:p w:rsidR="00000000" w:rsidRDefault="00FF5827">
      <w:pPr>
        <w:pStyle w:val="ConsPlusNormal"/>
        <w:jc w:val="center"/>
      </w:pPr>
      <w:r>
        <w:t>РОССИЙСКОЙ ФЕДЕРАЦИИ (И ДЕЙСТВУЮЩИМ В ЭТОМ КАЧЕСТВЕ</w:t>
      </w:r>
    </w:p>
    <w:p w:rsidR="00000000" w:rsidRDefault="00FF5827">
      <w:pPr>
        <w:pStyle w:val="ConsPlusNormal"/>
        <w:jc w:val="center"/>
      </w:pPr>
      <w:r>
        <w:t>МЕЖГОСУДАРСТВЕННЫМ СТАНДАРТАМ)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right"/>
      </w:pPr>
      <w:r>
        <w:t>Таблица ДА.1</w:t>
      </w:r>
    </w:p>
    <w:p w:rsidR="00000000" w:rsidRDefault="00FF582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1976"/>
        <w:gridCol w:w="4119"/>
      </w:tblGrid>
      <w:tr w:rsidR="0000000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Обозначение ссылочного международного стандарта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Степень соответствия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F5827">
            <w:pPr>
              <w:pStyle w:val="ConsPlusNormal"/>
              <w:jc w:val="center"/>
            </w:pPr>
            <w:r>
              <w:t>Обозначение и наименование соответствующего национального стандарта</w:t>
            </w:r>
          </w:p>
        </w:tc>
      </w:tr>
      <w:tr w:rsidR="00000000"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ИСО 186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jc w:val="center"/>
            </w:pPr>
            <w:r>
              <w:t>&lt;*&gt;</w:t>
            </w:r>
          </w:p>
        </w:tc>
      </w:tr>
      <w:tr w:rsidR="00000000">
        <w:tc>
          <w:tcPr>
            <w:tcW w:w="3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</w:pPr>
            <w:r>
              <w:t>ИСО 187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jc w:val="center"/>
            </w:pPr>
            <w:r>
              <w:t>&lt;*&gt;</w:t>
            </w:r>
          </w:p>
        </w:tc>
      </w:tr>
      <w:tr w:rsidR="00000000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5827">
            <w:pPr>
              <w:pStyle w:val="ConsPlusNormal"/>
              <w:jc w:val="both"/>
            </w:pPr>
            <w:bookmarkStart w:id="13" w:name="Par637"/>
            <w:bookmarkEnd w:id="13"/>
            <w:r>
              <w:t>&lt;*&gt;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</w:t>
            </w:r>
            <w:r>
              <w:t xml:space="preserve"> регламентов и стандартов.</w:t>
            </w:r>
          </w:p>
        </w:tc>
      </w:tr>
    </w:tbl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jc w:val="center"/>
        <w:outlineLvl w:val="0"/>
      </w:pPr>
      <w:r>
        <w:t>БИБЛИОГРАФИЯ</w:t>
      </w:r>
    </w:p>
    <w:p w:rsidR="00000000" w:rsidRDefault="00FF582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7"/>
      </w:tblGrid>
      <w:tr w:rsidR="00000000">
        <w:tc>
          <w:tcPr>
            <w:tcW w:w="9677" w:type="dxa"/>
          </w:tcPr>
          <w:p w:rsidR="00000000" w:rsidRDefault="00FF5827">
            <w:pPr>
              <w:pStyle w:val="ConsPlusNormal"/>
              <w:jc w:val="both"/>
            </w:pPr>
            <w:bookmarkStart w:id="14" w:name="Par645"/>
            <w:bookmarkEnd w:id="14"/>
            <w:r>
              <w:t>[1] ISO 536:1995 Paper and board - Determination of grammage (ИСО 536:1995 Бумага и картон. Определение массы) &lt;*&gt;</w:t>
            </w:r>
          </w:p>
        </w:tc>
      </w:tr>
      <w:tr w:rsidR="00000000">
        <w:tc>
          <w:tcPr>
            <w:tcW w:w="9677" w:type="dxa"/>
          </w:tcPr>
          <w:p w:rsidR="00000000" w:rsidRDefault="00FF5827">
            <w:pPr>
              <w:pStyle w:val="ConsPlusNormal"/>
              <w:jc w:val="both"/>
            </w:pPr>
            <w:bookmarkStart w:id="15" w:name="Par646"/>
            <w:bookmarkEnd w:id="15"/>
            <w:r>
              <w:t>[2] ISO 4046-4:2002 Paper, board, pulps and related terms - Vocabulary - Part 4: Paper and board grades and converted products (ИСО 4046-4:2002 Бумага, картон, целлюлоза и соответствующие термины. Словарь. Часть 4. Виды бумаги и картона и продукции перераб</w:t>
            </w:r>
            <w:r>
              <w:t>отки) &lt;*&gt;</w:t>
            </w:r>
          </w:p>
        </w:tc>
      </w:tr>
      <w:tr w:rsidR="00000000">
        <w:tc>
          <w:tcPr>
            <w:tcW w:w="9677" w:type="dxa"/>
          </w:tcPr>
          <w:p w:rsidR="00000000" w:rsidRDefault="00FF5827">
            <w:pPr>
              <w:pStyle w:val="ConsPlusNormal"/>
              <w:jc w:val="both"/>
            </w:pPr>
            <w:bookmarkStart w:id="16" w:name="Par647"/>
            <w:bookmarkEnd w:id="16"/>
            <w:r>
              <w:t>[3] ISO 5725-1:1994 Accuracy (trueness and precision) of measurement methods and results - Part 1: General principles and definitions (ИСО 5725-1:1994 Достоверность (точность и погрешность) методов измерений и результатов. Часть 1. О</w:t>
            </w:r>
            <w:r>
              <w:t>сновные принципы и определения) &lt;*&gt;</w:t>
            </w:r>
          </w:p>
        </w:tc>
      </w:tr>
      <w:tr w:rsidR="00000000">
        <w:tc>
          <w:tcPr>
            <w:tcW w:w="9677" w:type="dxa"/>
          </w:tcPr>
          <w:p w:rsidR="00000000" w:rsidRDefault="00FF5827">
            <w:pPr>
              <w:pStyle w:val="ConsPlusNormal"/>
              <w:jc w:val="both"/>
            </w:pPr>
            <w:bookmarkStart w:id="17" w:name="Par648"/>
            <w:bookmarkEnd w:id="17"/>
            <w:r>
              <w:t>[4] ISO/TR 24498:2006 Paper, board and pulps - Estimation of uncertainty for test Methods (ИСО/ТР 24498:2006 Бумага, картон и целлюлоза. Оценка погрешностей методов испытания) &lt;*&gt;</w:t>
            </w:r>
          </w:p>
        </w:tc>
      </w:tr>
      <w:tr w:rsidR="00000000">
        <w:tc>
          <w:tcPr>
            <w:tcW w:w="9677" w:type="dxa"/>
          </w:tcPr>
          <w:p w:rsidR="00000000" w:rsidRDefault="00FF5827">
            <w:pPr>
              <w:pStyle w:val="ConsPlusNormal"/>
              <w:jc w:val="both"/>
            </w:pPr>
            <w:bookmarkStart w:id="18" w:name="Par649"/>
            <w:bookmarkEnd w:id="18"/>
            <w:r>
              <w:t>[5] FEFCO reco</w:t>
            </w:r>
            <w:r>
              <w:t>mmendation N 102, July 2006, Determination of the take-up factor of the fluting paper (ФЕФКО рекомендации N 102, июль 2006. Определение коэффициента усадки гофрированной бумаги)</w:t>
            </w:r>
          </w:p>
        </w:tc>
      </w:tr>
      <w:tr w:rsidR="00000000">
        <w:tc>
          <w:tcPr>
            <w:tcW w:w="9677" w:type="dxa"/>
          </w:tcPr>
          <w:p w:rsidR="00000000" w:rsidRDefault="00FF5827">
            <w:pPr>
              <w:pStyle w:val="ConsPlusNormal"/>
              <w:jc w:val="both"/>
            </w:pPr>
            <w:r>
              <w:t>[6] TAPPI Test Methods T 1200 sp-07, Interlaboratory Evaluation of Test Metho</w:t>
            </w:r>
            <w:r>
              <w:t>ds to Determine TAPPI Repeatability and Reproducibility (ТАППИ Методы испытаний Е 1200 sp-07 Межлабораторная оценка методов испытания при определении сходимости и воспроизводимости)</w:t>
            </w:r>
          </w:p>
        </w:tc>
      </w:tr>
    </w:tbl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FF5827">
      <w:pPr>
        <w:pStyle w:val="ConsPlusNormal"/>
        <w:spacing w:before="200"/>
        <w:ind w:firstLine="540"/>
        <w:jc w:val="both"/>
      </w:pPr>
      <w:bookmarkStart w:id="19" w:name="Par653"/>
      <w:bookmarkEnd w:id="19"/>
      <w:r>
        <w:t>&lt;*&gt; Официальный перевод это</w:t>
      </w:r>
      <w:r>
        <w:t>го стандарта находится в Федеральном информационном фонде технических регламентов и стандартов.</w:t>
      </w: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ind w:firstLine="540"/>
        <w:jc w:val="both"/>
      </w:pPr>
    </w:p>
    <w:p w:rsidR="00000000" w:rsidRDefault="00FF5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827" w:rsidRDefault="00FF5827">
      <w:pPr>
        <w:pStyle w:val="ConsPlusNormal"/>
        <w:rPr>
          <w:sz w:val="16"/>
          <w:szCs w:val="16"/>
        </w:rPr>
      </w:pPr>
    </w:p>
    <w:sectPr w:rsidR="00FF582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27" w:rsidRDefault="00FF5827">
      <w:pPr>
        <w:spacing w:after="0" w:line="240" w:lineRule="auto"/>
      </w:pPr>
      <w:r>
        <w:separator/>
      </w:r>
    </w:p>
  </w:endnote>
  <w:endnote w:type="continuationSeparator" w:id="0">
    <w:p w:rsidR="00FF5827" w:rsidRDefault="00FF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8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415F1">
            <w:fldChar w:fldCharType="separate"/>
          </w:r>
          <w:r w:rsidR="00B415F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415F1">
            <w:fldChar w:fldCharType="separate"/>
          </w:r>
          <w:r w:rsidR="00B415F1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FF582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8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415F1">
            <w:fldChar w:fldCharType="separate"/>
          </w:r>
          <w:r w:rsidR="00B415F1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415F1">
            <w:fldChar w:fldCharType="separate"/>
          </w:r>
          <w:r w:rsidR="00B415F1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FF582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8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415F1">
            <w:fldChar w:fldCharType="separate"/>
          </w:r>
          <w:r w:rsidR="00B415F1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415F1">
            <w:fldChar w:fldCharType="separate"/>
          </w:r>
          <w:r w:rsidR="00B415F1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FF582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27" w:rsidRDefault="00FF5827">
      <w:pPr>
        <w:spacing w:after="0" w:line="240" w:lineRule="auto"/>
      </w:pPr>
      <w:r>
        <w:separator/>
      </w:r>
    </w:p>
  </w:footnote>
  <w:footnote w:type="continuationSeparator" w:id="0">
    <w:p w:rsidR="00FF5827" w:rsidRDefault="00FF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ИСО 3039-2011. Национальный стандарт Российской Федерации. Картон гофрированный. Метод определения массы составл...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F582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FF58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582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ИСО 3039-2011. Национальный стандарт Российской Федерации. Картон гофрированный. Метод определения массы составл...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F582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FF58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582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ИСО 3039-2011. Национальный стандарт Российской Федерации. Картон гофрированный. Метод определения массы составл...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F582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582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FF58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58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D3FCB"/>
    <w:rsid w:val="009D3FCB"/>
    <w:rsid w:val="00B415F1"/>
    <w:rsid w:val="00F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2784</Words>
  <Characters>15874</Characters>
  <Application>Microsoft Office Word</Application>
  <DocSecurity>2</DocSecurity>
  <Lines>132</Lines>
  <Paragraphs>37</Paragraphs>
  <ScaleCrop>false</ScaleCrop>
  <Company>КонсультантПлюс Версия 4017.00.98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ИСО 3039-2011. Национальный стандарт Российской Федерации. Картон гофрированный. Метод определения массы составляющих слоев площадью 1 м2 после разделения"(утв. и введен в действие Приказом Росстандарта от 28.11.2011 N 624-ст)</dc:title>
  <dc:subject/>
  <dc:creator>Admin</dc:creator>
  <cp:keywords/>
  <dc:description/>
  <cp:lastModifiedBy>Admin</cp:lastModifiedBy>
  <cp:revision>2</cp:revision>
  <dcterms:created xsi:type="dcterms:W3CDTF">2018-10-08T08:23:00Z</dcterms:created>
  <dcterms:modified xsi:type="dcterms:W3CDTF">2018-10-08T08:23:00Z</dcterms:modified>
</cp:coreProperties>
</file>