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177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A43177">
      <w:pPr>
        <w:pStyle w:val="ConsPlusNormal"/>
        <w:ind w:left="540"/>
        <w:jc w:val="both"/>
      </w:pPr>
      <w:r>
        <w:t>"ГОСТ 34033-2016. Межгосударственный стандарт. Упаковка из картона и комбинированных материалов для пищевой продукции. Технические условия"</w:t>
      </w:r>
    </w:p>
    <w:p w:rsidR="00000000" w:rsidRDefault="00A43177">
      <w:pPr>
        <w:pStyle w:val="ConsPlusNormal"/>
        <w:ind w:left="540"/>
        <w:jc w:val="both"/>
      </w:pPr>
      <w:r>
        <w:t>(введен в действие Приказом Росстандарта от 01.06.2017 N 480-ст)</w:t>
      </w:r>
    </w:p>
    <w:p w:rsidR="00000000" w:rsidRDefault="00A43177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A43177">
      <w:pPr>
        <w:pStyle w:val="ConsPlusNormal"/>
        <w:ind w:left="540"/>
        <w:jc w:val="both"/>
      </w:pPr>
      <w:r>
        <w:t>М.: Стандартинформ, 2017</w:t>
      </w:r>
    </w:p>
    <w:p w:rsidR="00000000" w:rsidRDefault="00A43177">
      <w:pPr>
        <w:pStyle w:val="ConsPlusNormal"/>
      </w:pPr>
      <w:r>
        <w:rPr>
          <w:b/>
          <w:bCs/>
        </w:rPr>
        <w:t>Примеч</w:t>
      </w:r>
      <w:r>
        <w:rPr>
          <w:b/>
          <w:bCs/>
        </w:rPr>
        <w:t>ание к документу</w:t>
      </w:r>
    </w:p>
    <w:p w:rsidR="00000000" w:rsidRDefault="00A43177">
      <w:pPr>
        <w:pStyle w:val="ConsPlusNormal"/>
        <w:ind w:left="540"/>
        <w:jc w:val="both"/>
      </w:pPr>
      <w:bookmarkStart w:id="0" w:name="Par6"/>
      <w:bookmarkEnd w:id="0"/>
      <w:r>
        <w:t>Документ введен в действие с 1 ноября 2017 года.</w:t>
      </w:r>
    </w:p>
    <w:p w:rsidR="00000000" w:rsidRDefault="00A43177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A43177">
      <w:pPr>
        <w:pStyle w:val="ConsPlusNormal"/>
        <w:jc w:val="both"/>
        <w:outlineLvl w:val="0"/>
      </w:pPr>
    </w:p>
    <w:p w:rsidR="00000000" w:rsidRDefault="00A43177">
      <w:pPr>
        <w:pStyle w:val="ConsPlusNormal"/>
        <w:jc w:val="right"/>
        <w:outlineLvl w:val="0"/>
      </w:pPr>
      <w:r>
        <w:t>Введен в действие</w:t>
      </w:r>
    </w:p>
    <w:p w:rsidR="00000000" w:rsidRDefault="00A43177">
      <w:pPr>
        <w:pStyle w:val="ConsPlusNormal"/>
        <w:jc w:val="right"/>
      </w:pPr>
      <w:r>
        <w:t>Приказом Федерального</w:t>
      </w:r>
    </w:p>
    <w:p w:rsidR="00000000" w:rsidRDefault="00A43177">
      <w:pPr>
        <w:pStyle w:val="ConsPlusNormal"/>
        <w:jc w:val="right"/>
      </w:pPr>
      <w:r>
        <w:t>агентства по техническому</w:t>
      </w:r>
    </w:p>
    <w:p w:rsidR="00000000" w:rsidRDefault="00A43177">
      <w:pPr>
        <w:pStyle w:val="ConsPlusNormal"/>
        <w:jc w:val="right"/>
      </w:pPr>
      <w:r>
        <w:t>регулированию и метрологии</w:t>
      </w:r>
    </w:p>
    <w:p w:rsidR="00000000" w:rsidRDefault="00A43177">
      <w:pPr>
        <w:pStyle w:val="ConsPlusNormal"/>
        <w:jc w:val="right"/>
      </w:pPr>
      <w:r>
        <w:t>от 1 июня 2017 г. N 480-ст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Title"/>
        <w:jc w:val="center"/>
      </w:pPr>
      <w:r>
        <w:t>МЕЖГОСУДАРСТВЕННЫЙ СТАНДАРТ</w:t>
      </w:r>
    </w:p>
    <w:p w:rsidR="00000000" w:rsidRDefault="00A43177">
      <w:pPr>
        <w:pStyle w:val="ConsPlusTitle"/>
        <w:jc w:val="center"/>
      </w:pPr>
    </w:p>
    <w:p w:rsidR="00000000" w:rsidRDefault="00A43177">
      <w:pPr>
        <w:pStyle w:val="ConsPlusTitle"/>
        <w:jc w:val="center"/>
      </w:pPr>
      <w:r>
        <w:t>УПАКОВКА ИЗ КАРТОНА И КОМБИНИРОВАННЫХ МАТЕРИАЛОВ</w:t>
      </w:r>
    </w:p>
    <w:p w:rsidR="00000000" w:rsidRDefault="00A43177">
      <w:pPr>
        <w:pStyle w:val="ConsPlusTitle"/>
        <w:jc w:val="center"/>
      </w:pPr>
      <w:r>
        <w:t>ДЛЯ ПИЩЕВОЙ ПРОДУКЦИИ</w:t>
      </w:r>
    </w:p>
    <w:p w:rsidR="00000000" w:rsidRDefault="00A43177">
      <w:pPr>
        <w:pStyle w:val="ConsPlusTitle"/>
        <w:jc w:val="center"/>
      </w:pPr>
    </w:p>
    <w:p w:rsidR="00000000" w:rsidRDefault="00A43177">
      <w:pPr>
        <w:pStyle w:val="ConsPlusTitle"/>
        <w:jc w:val="center"/>
      </w:pPr>
      <w:r>
        <w:t>ТЕХНИЧЕСКИЕ УСЛОВИЯ</w:t>
      </w:r>
    </w:p>
    <w:p w:rsidR="00000000" w:rsidRDefault="00A43177">
      <w:pPr>
        <w:pStyle w:val="ConsPlusTitle"/>
        <w:jc w:val="center"/>
      </w:pPr>
    </w:p>
    <w:p w:rsidR="00000000" w:rsidRDefault="00A43177">
      <w:pPr>
        <w:pStyle w:val="ConsPlusTitle"/>
        <w:jc w:val="center"/>
      </w:pPr>
      <w:r>
        <w:t>Package of paperboard and composite materials</w:t>
      </w:r>
    </w:p>
    <w:p w:rsidR="00000000" w:rsidRDefault="00A43177">
      <w:pPr>
        <w:pStyle w:val="ConsPlusTitle"/>
        <w:jc w:val="center"/>
      </w:pPr>
      <w:r>
        <w:t>for food-stuffs. Specifications</w:t>
      </w:r>
    </w:p>
    <w:p w:rsidR="00000000" w:rsidRDefault="00A43177">
      <w:pPr>
        <w:pStyle w:val="ConsPlusTitle"/>
        <w:jc w:val="center"/>
      </w:pPr>
    </w:p>
    <w:p w:rsidR="00000000" w:rsidRDefault="00A43177">
      <w:pPr>
        <w:pStyle w:val="ConsPlusTitle"/>
        <w:jc w:val="center"/>
      </w:pPr>
      <w:r>
        <w:t>ГОСТ 34033-2016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right"/>
      </w:pPr>
      <w:r>
        <w:t>МКС 55.160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right"/>
      </w:pPr>
      <w:bookmarkStart w:id="1" w:name="Par29"/>
      <w:bookmarkEnd w:id="1"/>
      <w:r>
        <w:t>Дата введения</w:t>
      </w:r>
    </w:p>
    <w:p w:rsidR="00000000" w:rsidRDefault="00A43177">
      <w:pPr>
        <w:pStyle w:val="ConsPlusNormal"/>
        <w:jc w:val="right"/>
      </w:pPr>
      <w:r>
        <w:t>1 ноября 2017 года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Предисловие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Цели, основные принципы и основной порядок проведения работ по межгосударственной стандартизации установлены в ГОСТ 1.0-2015 "Межгосударственная система стандартизации. Основные положения" и ГОСТ 1.2-2015 "Межгосударственная система стандартизации. Станд</w:t>
      </w:r>
      <w:r>
        <w:t>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Сведения о стандарте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1 РАЗРАБОТАН Межгосударственным техническим комитетом по стандартизации МТК 223 "Упаковка"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2 ВНЕ</w:t>
      </w:r>
      <w:r>
        <w:t>СЕН Федеральным агентством по техническому регулированию и метрологии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3 ПРИНЯТ Межгосударственным советом по стандартизации, метрологии и сертификации (протокол от 19 декабря 2016 г. N 94-П)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За принятие проголосовали:</w:t>
      </w:r>
    </w:p>
    <w:p w:rsidR="00000000" w:rsidRDefault="00A431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800"/>
        <w:gridCol w:w="4680"/>
      </w:tblGrid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000000"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lastRenderedPageBreak/>
              <w:t>Армения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t>Минэкономики Республики Армения</w:t>
            </w:r>
          </w:p>
        </w:tc>
      </w:tr>
      <w:tr w:rsidR="00000000"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t>Беларусь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  <w:jc w:val="center"/>
            </w:pPr>
            <w:r>
              <w:t>BY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t>Госстандарт Республики Беларусь</w:t>
            </w:r>
          </w:p>
        </w:tc>
      </w:tr>
      <w:tr w:rsidR="00000000"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t>Грузия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  <w:jc w:val="center"/>
            </w:pPr>
            <w:r>
              <w:t>GE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t>Грузстандарт</w:t>
            </w:r>
          </w:p>
        </w:tc>
      </w:tr>
      <w:tr w:rsidR="00000000"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t>Киргизия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t>Кыргызстандарт</w:t>
            </w:r>
          </w:p>
        </w:tc>
      </w:tr>
      <w:tr w:rsidR="00000000"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t>Россия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</w:pPr>
            <w:r>
              <w:t>Росстандарт</w:t>
            </w:r>
          </w:p>
        </w:tc>
      </w:tr>
    </w:tbl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4 Приказом Федерального агентства по техническому регулированию и метрологии от 1 июня 2017 г. N 480-ст межгосударственный стандарт ГОСТ 34033-2016 введен в действие в качестве национального стандарта Российской Федерации с 1 ноября 2017 г.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5 Настоящий ста</w:t>
      </w:r>
      <w:r>
        <w:t>ндарт разработан на основе применения ГОСТ Р 54463-2011 &lt;*&gt;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&lt;*&gt; Приказом Федерального агентства по техническому регулированию и метрологии от 1 июня 2017 г. N 480-ст ГОСТ Р 54463-2011 отменен с 1 ноября 2017 г.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6 Настоящий</w:t>
      </w:r>
      <w:r>
        <w:t xml:space="preserve"> стандарт разработан для обеспечения соблюдения требований технического регламента Таможенного союза ТР ТС 005/2011 "О безопасности упаковки"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7 ВВЕДЕН ВПЕРВЫЕ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</w:t>
      </w:r>
      <w:r>
        <w:t xml:space="preserve"> "Национальные стандарты" (по состоянию на 1 января текущего года),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</w:t>
      </w:r>
      <w:r>
        <w:t>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</w:t>
      </w:r>
      <w:r>
        <w:t>гулированию и метрологии в сети Интернет (www.gost.ru)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Настоящий стандарт распространяется на упаковку из картона и комбинированных материалов на основе картона - складные лотковые и оберточные ящики с четырехклапанными дном и крышк</w:t>
      </w:r>
      <w:r>
        <w:t>ой (далее - ящики), предназначенные для упаковывания, транспортирования и хранения пищевой продукции.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Ящики могут применяться для упаковывания другой продукции массой, не превышающей предельную, указанную в приложении А, если они обеспечивают сохранность и</w:t>
      </w:r>
      <w:r>
        <w:t xml:space="preserve"> качество упакованной продукции.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Ящики, предназначенные для упаковывания, транспортирования и хранения пищевой продукции, отправляемой в районы Крайнего Севера и приравненные к ним местности, должны соответствовать ГОСТ 15846.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межгосударственные стандарты: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427-75 Линейки измерительные металлические. Технические условия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ГОСТ ISO 2234-2014 Упаковка. Тара транспортная наполненная и единичные грузы. Методы </w:t>
      </w:r>
      <w:r>
        <w:lastRenderedPageBreak/>
        <w:t>испыт</w:t>
      </w:r>
      <w:r>
        <w:t>аний на штабелирование при статической нагрузке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ISO 2244-2013 Упаковка. Тара транспортная наполненная и грузовые единицы. Методы испытания на горизонтальный удар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3282-74 Проволока стальная низкоуглеродистая общего назначения. Технические условия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7502-98 Рулетки измерительные металлические. Технические условия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9078-84 Поддоны плоские. Общие технические условия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9142-2014 Ящики из гофрированного картона. Общие технические условия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10234-77 Лента стальная плющеная средней прочности.</w:t>
      </w:r>
      <w:r>
        <w:t xml:space="preserve"> Технические условия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14192-96 Маркировка грузов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18106-72 Тара транспортная наполненная. Обозначени</w:t>
      </w:r>
      <w:r>
        <w:t>е частей для испытания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18211-72 (ИСО 12048-94) Тара транспортная. Метод испытания на сжатие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18425-73 Тара транспортная наполненная. Метод испытания на удар при свободном падении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18992-80 Дисперсия поливинилацетатная гомополимерная грубодиспе</w:t>
      </w:r>
      <w:r>
        <w:t>рсная. Технические условия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19434-74 Грузовые единицы, транспортные средства и склады. Основные присоединительные размеры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21140-88 Тара. Система размеров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21798-76 Тара транспортная наполненная. Метод кондиционирования для испытаний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24597</w:t>
      </w:r>
      <w:r>
        <w:t>-81 Пакеты тарно-штучных грузов. Основные параметры и размеры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25776-83 Продукция штучная и в потребительской таре. Упаковка групповая в термоусадочную пленку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25951-83 Пленка полиэтиленовая термоусадочная. Технические условия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ГОСТ 26663-85 Пакеты </w:t>
      </w:r>
      <w:r>
        <w:t>транспортные. Формирование с применением средств пакетирования. Общие технические требования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ГОСТ 32096-2013 Картон тароупаковочный для пищевой продукции. Общие технические условия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Примечание - При пользовании настоящим стандартом целесообразно проверить д</w:t>
      </w:r>
      <w:r>
        <w:t xml:space="preserve">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</w:t>
      </w:r>
      <w:r>
        <w:t>опубликован по состоянию на 1 января текущего года, и по выпускам ежемесячного информационного указателя "Национальные стандарты" за текущий год. Если ссылочный стандарт заменен (изменен), то при пользовании настоящим стандартом следует руководствоваться з</w:t>
      </w:r>
      <w:r>
        <w:t>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3. Основные параметры и размеры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lastRenderedPageBreak/>
        <w:t>3.1 Ящики изготовляют следующих типов в соответствии с ГОСТ 9142 (приложение А, таблица А.1):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складные с четырехклапанными дном и крышкой;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складные лотковые и оберточные.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По согласованию с заказчиком ящики других конструкций и исполнений изготовляют по</w:t>
      </w:r>
      <w:r>
        <w:t xml:space="preserve"> технической документации, утвержденной в установленном порядке.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3.2 Размеры ящиков устанавливают в технической документации с учетом требований ГОСТ 21140.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Рекомендуемые размеры и параметры ящиков приведены в приложении А.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2" w:name="Par113"/>
      <w:bookmarkEnd w:id="2"/>
      <w:r>
        <w:t>3.3 Допускаемые откл</w:t>
      </w:r>
      <w:r>
        <w:t>онения от внутренних размеров ящиков (кроме лотков) не должны превышать: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- 2 мм - для ящиков, изготовленных из гофрированного картона типа Т с профилем гофра E и F по технической документации &lt;*&gt; или тарного плоского склеенного картона марок ТПС и ТПС-1 по</w:t>
      </w:r>
      <w:r>
        <w:t xml:space="preserve"> ГОСТ 32096;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- 3 мм - для ящиков, изготовленных из гофрированного картона типа Т с профилем гофра A, C и B по технической документации &lt;*&gt;;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- 5 мм - для ящиков, изготовленных из гофрированного картона типов П и С по технической документации &lt;*&gt;.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----------</w:t>
      </w:r>
      <w:r>
        <w:t>----------------------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3" w:name="Par118"/>
      <w:bookmarkEnd w:id="3"/>
      <w:r>
        <w:t>&lt;*&gt; В Российской Федерации действует стандарт [1].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По согласованию с заказчиком для крупногабаритных ящиков допускается устанавливать другие отклонения от внутренних размеров.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4" w:name="Par121"/>
      <w:bookmarkEnd w:id="4"/>
      <w:r>
        <w:t>3.4 Зазор в стыке наружных или в</w:t>
      </w:r>
      <w:r>
        <w:t>нутренних клапанов ящиков при сборке ящиков с четырехклапанными дном и крышкой, изготовленных из картона типа Т, должен быть не более 5 мм, типа П - не более 10 мм, типа С - не более 14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Допускается зазор в стыке наружных или внутренних клапанов до 20 м</w:t>
      </w:r>
      <w:r>
        <w:t>м для ящиков с продукцией, упакованной в потребительскую упаковку, и ящиков, укомплектованных прокладками.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По согласованию с заказчиком допускается зазор в стыке наружных клапанов дна и крышки до 50 мм для ящиков, укомплектованных обечайкой.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4. Технически</w:t>
      </w:r>
      <w:r>
        <w:t>е требования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4.1 Характеристики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4.1.1 Складные ящики с четырехклапанными дном и крышкой изготовляют из одного листа гофрированного картона.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По согласованию с заказчиком допускается изготовлять ящики из двух и более листов картона, при условии обеспечения </w:t>
      </w:r>
      <w:r>
        <w:t>механической прочности ящиков.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4.1.2 Направление гофров в ящиках, в зависимости от способности продукции воспринимать или не воспринимать нагрузку при штабелировании, устанавливают в технической документации на ящики для конкретных видов продукции. Рекомен</w:t>
      </w:r>
      <w:r>
        <w:t>дуемое направление гофров в ящике параллельно высоте ящика.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Допускается ящики для продукции, воспринимающей нагрузку при штабелировании, изготовлять с другим направлением гофр.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lastRenderedPageBreak/>
        <w:t>4.1.3 Линии сгиба ящиков наносят рилевкой, биговкой, перфорацией и/или их комбинацией. Способ нанесения линий сгиба ящиков для конкретных видов продукции согласовывают с заказчиком.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Линии сгиба должны быть взаимно перпендикулярными и обеспечивать формирова</w:t>
      </w:r>
      <w:r>
        <w:t>ние ящиков с заданными внутренними размерами.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Линии сгиба по всей длине должны быть нанесены четко и равномерно.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5" w:name="Par135"/>
      <w:bookmarkEnd w:id="5"/>
      <w:r>
        <w:t>4.1.4 Отклонение от перпендикулярности линий сгиба не должно превышать 8 мм на 1 м длины.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6" w:name="Par136"/>
      <w:bookmarkEnd w:id="6"/>
      <w:r>
        <w:t>4.1.5 Отклонение положения пр</w:t>
      </w:r>
      <w:r>
        <w:t>орезей и отверстий от заданного в чертежах не должно превышать +/- 5,0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4.1.6 Ящики по соединительному клапану склеивают или сшивают, или сшивают и склеивают.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4.1.7 Вид скрепления ящика и исполнение соединительного клапана устанавливают в технической до</w:t>
      </w:r>
      <w:r>
        <w:t>кументации или чертежах на ящики для конкретных видов продукции.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7" w:name="Par139"/>
      <w:bookmarkEnd w:id="7"/>
      <w:r>
        <w:t>4.1.8 Скобы располагают под любым углом параллельно или перпендикулярно к высоте ящика.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Расстояние от крайних скоб до поперечных кромок соединительного клапана должно быть не боле</w:t>
      </w:r>
      <w:r>
        <w:t>е 25 мм, до продольных кромок - 5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Расстояние между скобами должно быть, мм, не более: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- 60 - при массе упаковываемой продукции до 10 кг;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- 45 - при массе упаковываемой продукции до 20 кг;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- 35 - при массе упаковываемой продукции свыше 20 кг.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Допускаетс</w:t>
      </w:r>
      <w:r>
        <w:t>я по согласованию с заказчиком в технической документации или чертежах на ящики для конкретных видов продукции устанавливать другое расстояние между скобами.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4.1.9 Разность ширины зазора по клеевому соединению ящика, измеренная сверху и снизу (ГОСТ 9142, р</w:t>
      </w:r>
      <w:r>
        <w:t>исунок 1), не должна превышать, мм: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- 2 - при высоте ящика до 300 мм;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- 4 - при высоте ящика от 300 до 600 мм;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- 6 - при высоте ящика от 600 до 1500 мм;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- 8 - при высоте ящика свыше 1500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4.1.10 Допускаемое отклонение ширины зазора по клеевому соединени</w:t>
      </w:r>
      <w:r>
        <w:t>ю ящика (ГОСТ 9142, рисунок 2) должно быть: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+/- 4 мм - для ящиков, изготовленных из гофрированного картона типа Т;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+/- 6 мм - для ящиков, изготовленных из гофрированного картона типа П.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4.1.11 При складывании и склеивании ящиков в местах склейки поверхност</w:t>
      </w:r>
      <w:r>
        <w:t>ей выступ кромки одной поверхности относительно другой (ГОСТ 9142, рисунок 3) не должен превышать, мм: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- 2 - при ширине развертки ящика до 400 мм;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- 3 - при ширине развертки ящика от 400 до 800 мм включительно;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- 5 - при ширине развертки ящика свыше 800 мм</w:t>
      </w:r>
      <w:r>
        <w:t>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8" w:name="Par158"/>
      <w:bookmarkEnd w:id="8"/>
      <w:r>
        <w:lastRenderedPageBreak/>
        <w:t>4.1.12 В ящиках не допускаются: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смещение высечки клапанов по высоте ящика более, мм: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5 - для ящиков из гофрированного картона типа Т;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10 - для ящиков из гофрированного картона типа П;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14 - для ящиков из гофрированного картона типа С;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задиры на внутренних плоских слоях картона для ящиков, имеющих непосредственный контакт с пищевой продукцией;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задиры на наружных и внутренних плоских слоях картона общей площадью более 80 см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2</w:t>
      </w:r>
      <w:r>
        <w:t xml:space="preserve"> для ящиков, не имеющих непосредственного контакта с пищев</w:t>
      </w:r>
      <w:r>
        <w:t>ой продукцией;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несклеенные участки на наружном плоском слое картона;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несклеенные участки на внутреннем плоском слое картона общей площадью более 50 см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2</w:t>
      </w:r>
      <w:r>
        <w:t>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разрывы, разрезы, расслоение кромок клапана на глубину более 10 мм от края кромки;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пятна раз</w:t>
      </w:r>
      <w:r>
        <w:t>мером более 20 мм в наибольшем измерении;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складки и морщины длиной более 50 мм на наружном плоском слое гофрированного картона.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Длину морщин и складок на внутреннем плоском слое без обнажения гофрированного слоя не нормируют.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4.1.13 Допускаются складки и</w:t>
      </w:r>
      <w:r>
        <w:t xml:space="preserve"> морщины на наружном слое гофрированного картона в случае нестандартной технологической особенности оборудования - направления захвата листа гофрированного картона (заготовки) в линию перпендикулярно к направлению гофры.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4.1.14 При нанесении перфорации доп</w:t>
      </w:r>
      <w:r>
        <w:t>ускаются трещины внутреннего плоского слоя гофрированного картона длиной не более 30% общей длины линий перфорирования для гофрированного картона типов Т и П и 40% - для гофрированного картона типа С, если другое не согласовано с заказчиком.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4.1.15 На нару</w:t>
      </w:r>
      <w:r>
        <w:t>жной поверхности ящиков допускается наличие вмятин, образующихся от технологической оснастки, транспортных ремней (строповочных лент), при сшивке, склейке или упаковке, без обнажения гофрированного слоя.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4.1.16 Клей для склеивания ящиков по соединительному</w:t>
      </w:r>
      <w:r>
        <w:t xml:space="preserve"> шву наносят равномерно, допускается точечная склейка. Клеевое соединение должно быть прочным и должно обеспечивать невозможность разделения склеенных поверхностей без их разрушения.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4.1.17 Не допускается затекание клея на лицевую и внутреннюю поверхности </w:t>
      </w:r>
      <w:r>
        <w:t>ящиков, отсутствие клея в местах склейки, предусмотренных чертежами.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9" w:name="Par176"/>
      <w:bookmarkEnd w:id="9"/>
      <w:r>
        <w:t>4.1.18 Клапаны ящиков с четырехклапанными дном и крышкой с линиями сгибов, нанесенными рилевкой или биговкой, должны выдерживать не менее 10 двойных перегибов на 180° по линии</w:t>
      </w:r>
      <w:r>
        <w:t xml:space="preserve"> сгиба.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Допускаются трещины длиной не более 25 мм с внутренней стороны ящиков без обнажения гофрированного слоя по линии сгиба.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Примечание - Данные требования не распространяются на ящики, линии сгиба которых нанесены перфорацией.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4.1.19 Элементы скреплен</w:t>
      </w:r>
      <w:r>
        <w:t>ия складных лотковых и оберточных ящиков по линиям сгиба должны обеспечивать жесткую конструкцию ящиков в собранном виде.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lastRenderedPageBreak/>
        <w:t>4.1.20 Механическую прочность ящиков с четырехклапанными дном и крышкой в зависимости от вида упаковываемой продукции и ее способности</w:t>
      </w:r>
      <w:r>
        <w:t xml:space="preserve"> воспринимать или не воспринимать нагрузку при штабелировании определяют и рассчитывают по ГОСТ 9142 по показателям: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сопротивление сжатию или прочность при штабелировании;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сопротивление ударам при свободном падении;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сопротивление горизонтальному удар</w:t>
      </w:r>
      <w:r>
        <w:t>у.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4.1.21 Усилие сопротивления ящиков сжатию и массу груза, которую должны выдерживать ящики с четырехклапанными дном и крышкой при штабелировании, рассчитывают по ГОСТ 9142 (4.1.4 и 4.1.5).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Высоту штабеля устанавливают в технической документации на ящики для конкретных видов продукции с учетом механической прочности ящиков, свойств упаковываемой продукции, полной вместимости и/или грузоподъемности транспортных средств. Если в технической доку</w:t>
      </w:r>
      <w:r>
        <w:t>ментации не установлена высота штабеля, то при расчетах усилия сопротивления сжатию ящиков с четырехклапанными дном и крышкой высоту штабеля принимают равной 250 см.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4.1.22 Механическую прочность складных лотковых ящиков определяют показателем прочности пр</w:t>
      </w:r>
      <w:r>
        <w:t>и штабелировании.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Массу груза, которую должны выдерживать лотковые ящики при штабелировании, рассчитывают по ГОСТ 9142 (4.1.5).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Если в технической документации на лотковые ящики для конкретных видов продукции не установлена высота штабеля, то высоту штабел</w:t>
      </w:r>
      <w:r>
        <w:t>я принимают равной 135 см.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Для ящиков, предназначенных для транспортирования яиц, определение сопротивления ударам при свободном падении не проводят.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4.1.23 Для ящиков, предназначенных для упаковывания мясной, молочной, птицеперерабатывающей продукции, кон</w:t>
      </w:r>
      <w:r>
        <w:t>сервов и пресервов в металлической и полимерной упаковке, механическую прочность определяют по показателю сопротивления ударам при свободном падении.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Ящики должны выдерживать не менее 5 ударов, высота сбрасывания - по ГОСТ 9142 (4.1.7, таблица 2).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4.1.24 Д</w:t>
      </w:r>
      <w:r>
        <w:t>ля ящиков, предназначенных для продукции в стеклянной упаковке, механическую прочность определяют по показателю сопротивления горизонтальному удару.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При испытании на горизонтальный удар ящики должны выдерживать по одному удару плоскостью 5, ребрами 5-2, 5-</w:t>
      </w:r>
      <w:r>
        <w:t>4; плоскостью 6, ребрами 6-5 и 6-4 при скорости удара не более 1,4 м/с; расстояние, проходимое тележкой, должно быть равно 0,6 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4.1.25 В зависимости от требований к упаковке, установленных в технической документации на упаковываемую продукцию, способност</w:t>
      </w:r>
      <w:r>
        <w:t>и упакованной продукции воспринимать или не воспринимать нагрузку при штабелировании, условий транспортирования и сроков хранения продукции, ящики комплектуют вспомогательными упаковочными средствами: обечайками, вкладышами, перегородками, решетками, прокл</w:t>
      </w:r>
      <w:r>
        <w:t>адками, амортизаторами.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Конструкцию и размеры вспомогательных упаковочных средств устанавливают в технической документации на ящики для конкретных видов продукции и согласовывают с заказчиком.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4.1.26 Внутренние размеры вкладыша (длина и ширина) должны быть</w:t>
      </w:r>
      <w:r>
        <w:t xml:space="preserve"> меньше соответствующих внутренних размеров ящика на 10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Высота вкладыша должна быть равна высоте ящика или меньше внутренней высоты ящика на 3 - 5 мм.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10" w:name="Par199"/>
      <w:bookmarkEnd w:id="10"/>
      <w:r>
        <w:lastRenderedPageBreak/>
        <w:t>4.1.27 Размеры горизонтальных прокладок должны быть меньше внутренних размеров ящика на 3</w:t>
      </w:r>
      <w:r>
        <w:t xml:space="preserve"> - 10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Размеры горизонтальных прокладок для ящиков, укомплектованных вкладышем, должны быть меньше внутренних размеров ящиков на 10 - 20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4.1.28 Длина продольных и поперечных перегородок, образующих решетки, должна быть меньше внутренней длины и шири</w:t>
      </w:r>
      <w:r>
        <w:t>ны ящика на 4 - 6 мм. Ширину продольных и поперечных перегородок выбирают в зависимости от размеров и свойств упаковываемой продукции, но она не должна превышать внутреннюю высоту ящика.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11" w:name="Par202"/>
      <w:bookmarkEnd w:id="11"/>
      <w:r>
        <w:t>4.1.29 Расстояние между ближайшими осями рилевки развертк</w:t>
      </w:r>
      <w:r>
        <w:t>и обечайки должно быть равно внутреннему размеру ящика плюс четыре толщины гофрированного картона.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Допускаемые отклонения размеров обечайки не должны превышать 3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4.1.30 В зависимости от свойств упаковываемой продукции по согласованию с заказчиком ящики</w:t>
      </w:r>
      <w:r>
        <w:t xml:space="preserve"> изготовляют с отверстиями и/или демонстрационными окнами.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12" w:name="Par205"/>
      <w:bookmarkEnd w:id="12"/>
      <w:r>
        <w:t>4.1.31 Ящики, предназначенные для упаковывания яиц, мяса птицы и колбас, должны иметь на каждой стенке по 4 отверстия диаметром 20 мм. В зависимости от размеров ящиков и свойств упаковы</w:t>
      </w:r>
      <w:r>
        <w:t>ваемой продукции ящики изготовляют с другим количеством отверстий или без отверстий.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4.1.32 Ящики для пищевой продукции должны быть чистыми, без запаха, влияющего на качество упаковываемой продукции.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4.1.33 По согласованию с заказчиком на ящики наносят худ</w:t>
      </w:r>
      <w:r>
        <w:t>ожественное оформление.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Печать должна быть четкой, легко читаемой, не красящейся. Не допускаются загрязнения или пятна от печатной краски, затрудняющие чтение надписей, отслоение краски.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Цвет печати согласовывают с заказчиком и устанавливают в технической </w:t>
      </w:r>
      <w:r>
        <w:t>документации на конкретные виды ящиков. Допускается отклонение от цвета, но не более чем на тон по каталогу цветов.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Смещение печати относительно заданного в чертежах не должно превышать 5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При многоцветной печати отклонение от совмещения красок относите</w:t>
      </w:r>
      <w:r>
        <w:t>льно друг друга не должно превышать 2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 Требования к сырью и материалам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4.2.1 Ящики изготовляют из гофрированного картона типа Т по технической документации &lt;*&gt;.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По согласованию с заказчиком применяют: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гофрированный картон типов П и С по технической документации &lt;*&gt;;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влагопрочный картон по технической документации;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картон с полимерным или лаковым покрытием по технической документации;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картон с белым или цветным покровным слоем по технической доку</w:t>
      </w:r>
      <w:r>
        <w:t>ментации;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комбинированный материал на основе картона по технической документации;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другие виды картона, отвечающие установленным требованиям и обеспечивающие сохранность упакованной продукции.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13" w:name="Par222"/>
      <w:bookmarkEnd w:id="13"/>
      <w:r>
        <w:lastRenderedPageBreak/>
        <w:t>&lt;*&gt; В Российско</w:t>
      </w:r>
      <w:r>
        <w:t>й Федерации действует стандарт [1].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4.2.2 Ящики, предназначенные для продукции, не воспринимающей нагрузку при штабелировании, изготовляют из гофрированного картона с сопротивлением торцевому сжатию вдоль гофров, указанному в ГОСТ 9142 (приложение Д, табл</w:t>
      </w:r>
      <w:r>
        <w:t>ица Д.1).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4.2.3 Ящики, предназначенные для продукции, не воспринимающей нагрузку при штабелировании, изготовляют из гофрированного картона с сопротивлением торцевому сжатию вдоль гофров, указанному в ГОСТ 9142 (приложение Д, таблица Д.2).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4.2.4 Марку карто</w:t>
      </w:r>
      <w:r>
        <w:t>на для изготовления ящиков и вспомогательных упаковочных средств определяют с учетом требований ГОСТ 9142 и технической документации на гофрированный картон &lt;*&gt;, а также способностью упаковываемой продукции воспринимать или не воспринимать нагрузку при шта</w:t>
      </w:r>
      <w:r>
        <w:t>белировании, согласовывают с заказчиком и устанавливают в технической документации на ящики для конкретных видов продукции.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4.2.5 Ящики для сливочного масла и маргарина в монолите изготовляют из плоского склеенного картона марок ТПС и ТПС-1 по ГОСТ 32096.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4.2.6 Ящики и обечайки для упаковывания консервов и пресервов, вырабатываемых на всех типах судов и транспортируемых смешанным транспортом, а также ящики и лотки для пищевой продукции, имеющей повышенную влажность или транспортируемой в условиях повышенной</w:t>
      </w:r>
      <w:r>
        <w:t xml:space="preserve"> влажности, изготовляют из влагопрочного картона с повышенными защитными свойствами по технической документации.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4.2.7 Для склеивания ящиков применяют поливинилацетатную дисперсию по ГОСТ 18992.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Допускается использование других клеев по технической докумен</w:t>
      </w:r>
      <w:r>
        <w:t>тации, обеспечивающих прочность склейки ящиков.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4.2.8 Для сшивания соединительных клапанов ящиков применяют проволоку диаметром 0,7 - 1,0 мм по ГОСТ 3282 или стальную плющеную ленту шириной (2,5 +/- 0,3) мм и толщиной 0,4 - 1,0 мм по ГОСТ 10234.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4.2.9 Для </w:t>
      </w:r>
      <w:r>
        <w:t>печати применяют краски для флексографической, офсетной и трафаретной печати по технической документации.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Способы нанесения печати, требования к содержанию печати согласовывают с заказчиком и устанавливают в технической документации на ящики для конкретных</w:t>
      </w:r>
      <w:r>
        <w:t xml:space="preserve"> видов продукции.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4.2.10 Вспомогательные упаковочные средства в зависимости от вида и назначения изготовляют из картона типов Т и П по технической документации &lt;*&gt;, тароупаковочного картона для пищевой продукции по ГОСТ 32096.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-----------------------------</w:t>
      </w:r>
      <w:r>
        <w:t>---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14" w:name="Par236"/>
      <w:bookmarkEnd w:id="14"/>
      <w:r>
        <w:t>&lt;*&gt; В Российской Федерации действует стандарт [1].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 xml:space="preserve">По согласованию с заказчиком вспомогательные упаковочные средства изготовляют из картона других типов, из отходов производства или из ящиков, бывших в употреблении, при условии отсутствия </w:t>
      </w:r>
      <w:r>
        <w:t>загрязнений, запахов, разрывов плоских слоев гофрированного картона.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Бугорчатые прокладки для яиц изготовляют из бумажного литья, макулатуры или полимерных материалов по технической документации.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4.2.11 Санитарно-гигиенические показатели безопасности и нормативы веществ, выделяющихся из материалов, применяемых для изготовления ящиков, контактирующих с пищевой продукцией, должны соответствовать требованиям технического регламента [2].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Ящики, предназ</w:t>
      </w:r>
      <w:r>
        <w:t xml:space="preserve">наченные для упаковывания детского питания, не должны выделять в </w:t>
      </w:r>
      <w:r>
        <w:lastRenderedPageBreak/>
        <w:t>контактирующие с ними модельные и воздушную среды вещества, вредные для здоровья человека, в количествах, превышающих предельно допустимые количества миграции химических веществ по техническо</w:t>
      </w:r>
      <w:r>
        <w:t>му регламенту [2].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4.3 Комплектность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4.3.1 Ящики поставляют в комплекте со вспомогательными упаковочными средствами.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4.3.2 По согласованию с заказчиком ящики для кондитерских изделий и продукции, не воспринимающей статическую нагрузку при штабелировании, у</w:t>
      </w:r>
      <w:r>
        <w:t>комплектовывают вкладышами, горизонтальными прокладками, перегородками.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4.3.3 Ящики для консервов и пресервов, вырабатываемых на всех типах судов; ящики для консервов, пресервов и пищевых жидкостей, предназначенных для длительного хранения, для поставок в </w:t>
      </w:r>
      <w:r>
        <w:t>районы Крайнего Севера и приравненные к нему местности, для транспортирования смешанным транспортом (с участием водного); ящики для консервов детского питания и ящики для продукции, предназначенной для экспорта, укомплектовывают обечайками.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4.3.4 Ящики, пр</w:t>
      </w:r>
      <w:r>
        <w:t>едназначенные для упаковывания продукции в тубах, укомплектовывают вкладышами или решетками.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4.3.5 Ящики, предназначенные для упаковывания продукции в металлических и полимерных бутылках и банках, укомплектовывают горизонтальными прокладками.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По согласован</w:t>
      </w:r>
      <w:r>
        <w:t>ию с заказчиком допускается укладывать металлические банки без горизонтальных прокладок.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4.3.6 Ящики, предназначенные для упаковывания продукции в стеклянных банках и бутылках, укомплектовывают горизонтальными прокладками, продольными и поперечными перегор</w:t>
      </w:r>
      <w:r>
        <w:t>одками (решетками) или применяют вкладыши.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По согласованию с заказчиком допускается применять ящики в комплекте с обертками и фигурными перегородками.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4.3.7 Ящики, предназначенные для упаковывания колбасной оболочки "Белкозин", колбасных изделий, фасованны</w:t>
      </w:r>
      <w:r>
        <w:t>х в пакеты, укомплектовывают вкладышами и прокладками.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4.3.8 Ящики, предназначенные для упаковывания яиц в бугорчатых прокладках, укомплектовывают поперечной перегородкой.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По согласованию с заказчиком допускается применять ящики в комплекте с горизонтально</w:t>
      </w:r>
      <w:r>
        <w:t>й прокладкой, располагаемой на дне.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4.3.9 Ящики для мороженого, в зависимости от требований, предъявляемых к упаковываемой продукции, условий транспортирования и хранения, укомплектовывают решетками и горизонтальными прокладками.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4.4 Маркировка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4.4.1 На ка</w:t>
      </w:r>
      <w:r>
        <w:t>ждый ящик наносят маркировку с указанием: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товарного знака и/или наименования предприятия - изготовителя ящиков;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обозначения настоящего стандарта или другой технической документации, по которой изготовлен ящик;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символа возможности утилизации "Петля Мё</w:t>
      </w:r>
      <w:r>
        <w:t>биуса" с указанием материала, из которого изготовлены ящики, в виде цифрового кода и/или аббревиатуры по техническому регламенту [2].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lastRenderedPageBreak/>
        <w:t>4.4.2 На каждой грузовой единице и в товаросопроводительной документации указывают: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наименование и назначение ящика;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н</w:t>
      </w:r>
      <w:r>
        <w:t>аименование и местонахождение изготовителя (юридический адрес, включая страну), информацию для контакта;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наименование и местонахождение уполномоченного изготовителем лица, импортера (юридический адрес, включая страну), информацию для контакта (при наличи</w:t>
      </w:r>
      <w:r>
        <w:t>и);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товарный знак (при наличии);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тип, исполнение, размеры ящика;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номер ящика по настоящему стандарту;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дату изготовления (месяц, год);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обозначение настоящего стандарта или другой технической документации, по которой изготовлен ящик;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- символ возможности утилизации "Петля Мёбиуса" с указанием материала, из которого изготовлены ящики, в виде цифрового кода и/или аббревиатуры по техническому регламенту [2].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4.4.3 Знак обращения на рынке проставляют на ярлыках и/или в сопроводительной док</w:t>
      </w:r>
      <w:r>
        <w:t>ументации в соответствии с техническим регламентом [2].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4.4.4 По согласованию с заказчиком допускается наносить на ящики маркировку, характеризующую упаковываемую продукцию, и манипуляционные знаки.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4.4.5 Транспортная маркировка - по ГОСТ 14192 с указанием</w:t>
      </w:r>
      <w:r>
        <w:t xml:space="preserve"> манипуляционных знаков: "Беречь от влаги" и "Крюками не брать". Количество маркировочных ярлыков, способ нанесения и место размещения ярлыков указывают в технической документации и согласовывают с заказчиком.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Допускается совмещение транспортной маркировки</w:t>
      </w:r>
      <w:r>
        <w:t xml:space="preserve"> и маркировки, характеризующей продукцию.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При транспортировании ящиков транспортными пакетами по согласованию с заказчиком транспортную маркировку допускается наносить на одну из сторон транспортного пакета.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4.4.6 Маркировку наносят на русском языке и/или </w:t>
      </w:r>
      <w:r>
        <w:t>государственном языке страны - изготовителя ящиков с учетом соответствующих требований, установленных законодательством государств.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По согласованию с заказчиком маркировку наносят на другом языке.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4.4.7 Способы, место нанесения и содержание маркировки уста</w:t>
      </w:r>
      <w:r>
        <w:t>навливают в технической документации на ящики для продукции конкретных видов.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Маркировка должна быть четкой и легко читаемой, нестираемой.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4.4.8 На ящики и поддоны транспортных пакетов может быть нанесена соответствующая машиносчитываемая маркировка: симво</w:t>
      </w:r>
      <w:r>
        <w:t>л штрихового кода и/или радиочастотная метка.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4.5 Упаковка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4.5.1 Ящики и вспомогательные упаковочные средства поставляют в кипах, сформированных в транспортные пакеты на плоских поддонах по ГОСТ 9078 или другой технической документации с учетом требований </w:t>
      </w:r>
      <w:r>
        <w:t>ГОСТ 26663.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По согласованию с заказчиком допускается формировать транспортные пакеты на настилах из досок </w:t>
      </w:r>
      <w:r>
        <w:lastRenderedPageBreak/>
        <w:t>или других листовых материалов.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По согласованию с заказчиком допускается поставлять ящики в кипах без поддонов.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4.5.2 Ящики лоткового и оберточного ти</w:t>
      </w:r>
      <w:r>
        <w:t>пов без склеивания и вспомогательные упаковочные средства поставляют заказчику в виде разверток, сформированных в кипы и транспортные пакеты на плоских поддонах.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4.5.3 Предпочтительными размерами поддонов являются унифицированные размеры, соответствующие Г</w:t>
      </w:r>
      <w:r>
        <w:t>ОСТ 19434.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4.5.4 В каждой кипе должны быть ящики одного типа, исполнения, размера и одинакового художественного оформления.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Допускается по согласованию с заказчиком упаковывать в кипы ящики и/или вспомогательные упаковочные средства разных размеров.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4.5.5 </w:t>
      </w:r>
      <w:r>
        <w:t>Кипы обвязывают полипропиленовым шнуром или лентой, или другими обвязочными материалами по технической документации, обеспечивающими прочность обвязки. Кипу обвязывают по одной из сторон одним или двумя поясами или крестообразно.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Допускается по согласовани</w:t>
      </w:r>
      <w:r>
        <w:t>ю с заказчиком формировать ящики в транспортные пакеты без разделения на кипы.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4.5.6 Транспортные пакеты, сформированные на поддонах, обертывают по всей высоте растягивающейся полиэтиленовой пленкой по ГОСТ 25951 или другими видами пленок по технической до</w:t>
      </w:r>
      <w:r>
        <w:t>кументации и/или обвязывают транспортными ремнями (лентой) по технической документации.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По согласованию с заказчиком допускаются другие виды упаковки, обеспечивающие сохранность ящиков и вспомогательных упаковочных средств.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4.5.7 Для предотвращения поврежд</w:t>
      </w:r>
      <w:r>
        <w:t>ений продукции при транспортировании допускается использовать дополнительные средства защиты: деревянные щиты, уголки, прокладки по технической документации.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5. Требования безопасности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5.1 Требования безопасности - по ГОСТ 9142.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6. Требования ресурсосбережения и экологии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6.1 Требования ресурсосбережения и экологии - по ГОСТ 9142.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6.2 Материалы, применяемые для изготовления ящиков, характеристики ящиков должны позволять обеспечивать их использование (переработку) в качестве вторич</w:t>
      </w:r>
      <w:r>
        <w:t>ного сырья после утраты ящиками потребительских свойств.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7. Правила приемки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7.1 Правила приемки - по ГОСТ 9142.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8. Методы контроля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8.1 Контроль качества ящиков проводят в соответствии с требованиями ГОСТ 9142 и настоящего стандарта.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8.2 Перед проведени</w:t>
      </w:r>
      <w:r>
        <w:t>ем испытаний на механическую прочность ящики кондиционируют при температуре 23 °C и относительной влажности 50% (ГОСТ 21798, режим 7) в течение 24 ч.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lastRenderedPageBreak/>
        <w:t>Каждому образцу присваивают порядковый номер и наносят обозначение поверхностей в соответствии с ГОСТ 1810</w:t>
      </w:r>
      <w:r>
        <w:t>6.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8.3 Внешний вид, комплектность, соответствие образцу-эталону (при наличии), качество склеивания и сшивания ящиков контролируют визуально.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8.4 Внутренние размеры ящиков, обечаек, вкладышей, смещение высечки клапанов ящиков контролируют измерением расстоя</w:t>
      </w:r>
      <w:r>
        <w:t>ния между ближайшими параллельными осями рилевки (биговки) развертки, за вычетом припусков (ГОСТ 9142, приложение Б).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8.5 Для определения числа двойных перегибов по линии рилевки (сгиба) клапанов ящик с четырехклапанными дном и крышкой в сложенном виде кла</w:t>
      </w:r>
      <w:r>
        <w:t>дут на плоскую поверхность и десять раз перегибают каждый клапан на 180°.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8.6 Соответствие ящиков 3.3, 3.4, 4.1.4, 4.1.5, 4.1.8 - 4.1.12, 4.1.18, 4.1.27 - 4.1.29, 4.1.31 контролируют измерением линейкой по ГОСТ 427 или рулеткой по ГОСТ 7502 с погрешностью </w:t>
      </w:r>
      <w:r>
        <w:t>не более 1,0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8.7 Контроль показателей механической прочности проводят по ГОСТ ISO 2234, ГОСТ ISO 2244, ГОСТ 18211, ГОСТ 18425.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Контроль механической прочности ящиков проводят при постановке продукции на производство, при разногласиях в оценке качества </w:t>
      </w:r>
      <w:r>
        <w:t>ящиков и изменении технологии изготовления ящиков.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8.8 Контроль художественного оформления и печати ящиков проводят сличением с образцом-эталоном, макетом или дизайном, согласованным с заказчиком.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8.9 Контроль санитарно-гигиенических требований проводят в </w:t>
      </w:r>
      <w:r>
        <w:t>соответствии с техническими документами, действующими в государствах, принявших настоящий стандарт.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9. Транспортирование и хранение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bookmarkStart w:id="15" w:name="Par323"/>
      <w:bookmarkEnd w:id="15"/>
      <w:r>
        <w:t>9.1 Ящики и вспомогательные упаковочные средства транспортируют и хранят в соответствии с требованиями ГОСТ 9142, настоящего стандарта и правил перевозки грузов, действующих на соответствующих видах транспорта.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9.2 При транспортировании кип ящиков, сформир</w:t>
      </w:r>
      <w:r>
        <w:t>ованных в транспортные пакеты, размеры и масса пакетов должны удовлетворять требованиям ГОСТ 26663 и требованиям правил перевозки грузов, действующих на соответствующих видах транспорта.</w:t>
      </w:r>
    </w:p>
    <w:p w:rsidR="00000000" w:rsidRDefault="00A43177">
      <w:pPr>
        <w:pStyle w:val="ConsPlusNormal"/>
        <w:spacing w:before="200"/>
        <w:ind w:firstLine="540"/>
        <w:jc w:val="both"/>
      </w:pPr>
      <w:bookmarkStart w:id="16" w:name="Par325"/>
      <w:bookmarkEnd w:id="16"/>
      <w:r>
        <w:t>9.3 Ящики и вспомогательные упаковочные средства хранят в</w:t>
      </w:r>
      <w:r>
        <w:t xml:space="preserve"> упаковке производителя в крытых складских помещениях, защищенных от атмосферных осадков, почвенной влаги, пыли, запахов и других источников загрязнения, с естественной вентиляцией в штабеле высотой не более 3 м на расстоянии не менее 1 м от отопительных п</w:t>
      </w:r>
      <w:r>
        <w:t>риборов.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Расстояние между штабелем кип и полом склада должно быть не менее 100 мм.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Условия хранения: при температуре от минус 14 °C до плюс 40 °C и относительной влажности 25% - 70%.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10. Указания по эксплуатации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10.1 Способ укупоривания ящиков с четырехк</w:t>
      </w:r>
      <w:r>
        <w:t>лапанными дном и крышкой с упакованной продукцией - по ГОСТ 9142, приложение Е.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10.2 При сборке складных лотковых и оберточных ящиков не допускается перегибание клапанов наружу, если дизайном не предусмотрено использование обратной рилевки (биговки).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 xml:space="preserve">10.3 </w:t>
      </w:r>
      <w:r>
        <w:t xml:space="preserve">В зависимости от свойств упаковываемой продукции складные лотковые и оберточные ящики с </w:t>
      </w:r>
      <w:r>
        <w:lastRenderedPageBreak/>
        <w:t xml:space="preserve">упакованной продукцией допускается обтягивать полиэтиленовой термоусадочной пленкой по ГОСТ 25951 или другими видами пленки по технической документации, обеспечивающей </w:t>
      </w:r>
      <w:r>
        <w:t>качество и сохранность упакованной продукции.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10.4 Складные оберточные ящики рекомендуется использовать для групповой упаковки пищевой продукции в штучной и потребительской таре в термоусадочную пленку с учетом требований ГОСТ 25776.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10.5 Ящики с упакованн</w:t>
      </w:r>
      <w:r>
        <w:t>ой продукцией целесообразно перевозить пакетами, сформированными на плоских поддонах, с учетом требований ГОСТ 26663.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10.6 Ящики с упакованной продукцией должны укладываться в штабель без смещения ящиков относительно друг друга. Для предотвращения смещения</w:t>
      </w:r>
      <w:r>
        <w:t xml:space="preserve"> ящиков с упакованной продукцией по высоте штабеля и снижения потерь прочности ящиков при штабелировании рекомендуется между горизонтальными рядами ящиков применять прокладки из цельного листа или отдельных листов картона (тарного, плоского склеенного, гоф</w:t>
      </w:r>
      <w:r>
        <w:t>рированного), или других листовых материалов.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10.7 Параметры и размеры пакетов при укладке ящиков на поддоны с упакованной продукцией должны соответствовать требованиям ГОСТ 24597.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10.8 Пакеты с продукцией, упакованной в ящики из гофрированного картона, до</w:t>
      </w:r>
      <w:r>
        <w:t>лжны храниться в соответствии с требованиями технической документации на упаковываемую продукцию.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1"/>
      </w:pPr>
      <w:r>
        <w:t>11. Гарантии изготовителя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ind w:firstLine="540"/>
        <w:jc w:val="both"/>
      </w:pPr>
      <w:r>
        <w:t>11.1 Изготовитель гарантирует соответствие ящиков требованиям настоящего стандарта при соблюдении потребителем изложенных выше пра</w:t>
      </w:r>
      <w:r>
        <w:t>вил транспортирования, хранения и эксплуатации.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11.2 Гарантийный срок хранения ящиков и вспомогательных упаковочных средств в упаковке производителя при соблюдении условий хранения по 9.1 - 9.3 - до 6 месяцев.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11.3 По истечении срока хранения допускается п</w:t>
      </w:r>
      <w:r>
        <w:t>роводить контрольные испытания ящиков по основным показателям на соответствие требованиям настоящего стандарта.</w:t>
      </w:r>
    </w:p>
    <w:p w:rsidR="00000000" w:rsidRDefault="00A43177">
      <w:pPr>
        <w:pStyle w:val="ConsPlusNormal"/>
        <w:spacing w:before="200"/>
        <w:ind w:firstLine="540"/>
        <w:jc w:val="both"/>
      </w:pPr>
      <w:r>
        <w:t>При получении положительных результатов испытаний ящики могут быть использованы по назначению.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right"/>
        <w:outlineLvl w:val="0"/>
      </w:pPr>
      <w:r>
        <w:t>Приложение А</w:t>
      </w:r>
    </w:p>
    <w:p w:rsidR="00000000" w:rsidRDefault="00A43177">
      <w:pPr>
        <w:pStyle w:val="ConsPlusNormal"/>
        <w:jc w:val="right"/>
      </w:pPr>
      <w:r>
        <w:t>(рекомендуемое)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</w:pPr>
      <w:bookmarkStart w:id="17" w:name="Par354"/>
      <w:bookmarkEnd w:id="17"/>
      <w:r>
        <w:t>РЕКОМЕНДУЕМЫЕ РАЗМЕРЫ И ПАРАМЕТРЫ ЯЩИКОВ</w:t>
      </w:r>
    </w:p>
    <w:p w:rsidR="00000000" w:rsidRDefault="00A43177">
      <w:pPr>
        <w:pStyle w:val="ConsPlusNormal"/>
        <w:jc w:val="center"/>
      </w:pPr>
      <w:r>
        <w:t>С ЧЕТЫРЕХКЛАПАННЫМИ ДНОМ И КРЫШКОЙ</w:t>
      </w: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right"/>
      </w:pPr>
      <w:r>
        <w:t>Таблица А.1</w:t>
      </w:r>
    </w:p>
    <w:p w:rsidR="00000000" w:rsidRDefault="00A431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60"/>
        <w:gridCol w:w="1080"/>
        <w:gridCol w:w="960"/>
        <w:gridCol w:w="1560"/>
        <w:gridCol w:w="2280"/>
        <w:gridCol w:w="1320"/>
      </w:tblGrid>
      <w:tr w:rsidR="0000000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Номер ящика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Внутренние размеры ящика, 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Вместимость, 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Предельная масса упакованной продукции в ящике, кг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Площадь развертки ящика,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Ширина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Высота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  <w:jc w:val="center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3177">
            <w:pPr>
              <w:pStyle w:val="ConsPlusNormal"/>
              <w:jc w:val="center"/>
            </w:pP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0,296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0,453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0,279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0,344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0,488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0,720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0,372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0,393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0,561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0,405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0,528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0,401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0,536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0,475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0,428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0,449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0,512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0,622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0,667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0,760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0,676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0,654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0,500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0,769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0,592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0,653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0,533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0,714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0,639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0,640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0,626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0,651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0,654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0,893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0,936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0,697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0,936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0,486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0,738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0,763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0,565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0,634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0,523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0,549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0,583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0,597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0,629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0,635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0,673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0,603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0,645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0,666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0,687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0,729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0,483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0,504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0,588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0,611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0,624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0,639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0,651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0,677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0,730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0,743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0,810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0,858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0,879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0,699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0,811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0,858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0,818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0,844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0,920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0,962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0,980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0,995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1,019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1,070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0,535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0,663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0,816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0,555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0,614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0,859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0,668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0,699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0,555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0,623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0,675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0,698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0,717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0,732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0,800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0,865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0,895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0,596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0,804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0,831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0,785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0,589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0,610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0,635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0,665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0,679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0,709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0,748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0,562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0,651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1,021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0,699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0,824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0,776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0,809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0,736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0,769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0,785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0,820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0,664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0,695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1,017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0,776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1,100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0,699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0,853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1,015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1,141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3177">
            <w:pPr>
              <w:pStyle w:val="ConsPlusNormal"/>
              <w:jc w:val="center"/>
            </w:pPr>
            <w:r>
              <w:t>1,317</w:t>
            </w:r>
          </w:p>
        </w:tc>
      </w:tr>
    </w:tbl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center"/>
        <w:outlineLvl w:val="0"/>
      </w:pPr>
      <w:r>
        <w:t>БИБЛИОГРАФИЯ</w:t>
      </w:r>
    </w:p>
    <w:p w:rsidR="00000000" w:rsidRDefault="00A431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60"/>
        <w:gridCol w:w="5760"/>
      </w:tblGrid>
      <w:tr w:rsidR="00000000">
        <w:tc>
          <w:tcPr>
            <w:tcW w:w="540" w:type="dxa"/>
          </w:tcPr>
          <w:p w:rsidR="00000000" w:rsidRDefault="00A43177">
            <w:pPr>
              <w:pStyle w:val="ConsPlusNormal"/>
            </w:pPr>
            <w:bookmarkStart w:id="18" w:name="Par1263"/>
            <w:bookmarkEnd w:id="18"/>
            <w:r>
              <w:t>[1]</w:t>
            </w:r>
          </w:p>
        </w:tc>
        <w:tc>
          <w:tcPr>
            <w:tcW w:w="2760" w:type="dxa"/>
          </w:tcPr>
          <w:p w:rsidR="00000000" w:rsidRDefault="00A43177">
            <w:pPr>
              <w:pStyle w:val="ConsPlusNormal"/>
            </w:pPr>
            <w:r>
              <w:t>ГОСТ Р 52901-2007</w:t>
            </w:r>
          </w:p>
        </w:tc>
        <w:tc>
          <w:tcPr>
            <w:tcW w:w="5760" w:type="dxa"/>
          </w:tcPr>
          <w:p w:rsidR="00000000" w:rsidRDefault="00A43177">
            <w:pPr>
              <w:pStyle w:val="ConsPlusNormal"/>
            </w:pPr>
            <w:r>
              <w:t>Картон гофрированный для упаковки продукции. Технические условия</w:t>
            </w:r>
          </w:p>
        </w:tc>
      </w:tr>
      <w:tr w:rsidR="00000000">
        <w:tc>
          <w:tcPr>
            <w:tcW w:w="540" w:type="dxa"/>
          </w:tcPr>
          <w:p w:rsidR="00000000" w:rsidRDefault="00A43177">
            <w:pPr>
              <w:pStyle w:val="ConsPlusNormal"/>
            </w:pPr>
            <w:bookmarkStart w:id="19" w:name="Par1266"/>
            <w:bookmarkEnd w:id="19"/>
            <w:r>
              <w:t>[2]</w:t>
            </w:r>
          </w:p>
        </w:tc>
        <w:tc>
          <w:tcPr>
            <w:tcW w:w="2760" w:type="dxa"/>
          </w:tcPr>
          <w:p w:rsidR="00000000" w:rsidRDefault="00A43177">
            <w:pPr>
              <w:pStyle w:val="ConsPlusNormal"/>
            </w:pPr>
            <w:r>
              <w:t>Технический регламент Таможенного союза</w:t>
            </w:r>
          </w:p>
          <w:p w:rsidR="00000000" w:rsidRDefault="00A43177">
            <w:pPr>
              <w:pStyle w:val="ConsPlusNormal"/>
            </w:pPr>
            <w:r>
              <w:t>ТР ТС 005/2011</w:t>
            </w:r>
          </w:p>
        </w:tc>
        <w:tc>
          <w:tcPr>
            <w:tcW w:w="5760" w:type="dxa"/>
          </w:tcPr>
          <w:p w:rsidR="00000000" w:rsidRDefault="00A43177">
            <w:pPr>
              <w:pStyle w:val="ConsPlusNormal"/>
            </w:pPr>
            <w:r>
              <w:t>О безопасности упаковки (утвержден решением Комиссии Таможенного союза от 16 августа 2011 г. N 769)</w:t>
            </w:r>
          </w:p>
        </w:tc>
      </w:tr>
    </w:tbl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jc w:val="both"/>
      </w:pPr>
    </w:p>
    <w:p w:rsidR="00000000" w:rsidRDefault="00A43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177" w:rsidRDefault="00A43177">
      <w:pPr>
        <w:pStyle w:val="ConsPlusNormal"/>
        <w:rPr>
          <w:sz w:val="16"/>
          <w:szCs w:val="16"/>
        </w:rPr>
      </w:pPr>
    </w:p>
    <w:sectPr w:rsidR="00A4317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77" w:rsidRDefault="00A43177">
      <w:pPr>
        <w:spacing w:after="0" w:line="240" w:lineRule="auto"/>
      </w:pPr>
      <w:r>
        <w:separator/>
      </w:r>
    </w:p>
  </w:endnote>
  <w:endnote w:type="continuationSeparator" w:id="0">
    <w:p w:rsidR="00A43177" w:rsidRDefault="00A4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31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31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317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317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B7DDB">
            <w:fldChar w:fldCharType="separate"/>
          </w:r>
          <w:r w:rsidR="00CB7DD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B7DDB">
            <w:fldChar w:fldCharType="separate"/>
          </w:r>
          <w:r w:rsidR="00CB7DDB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A431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77" w:rsidRDefault="00A43177">
      <w:pPr>
        <w:spacing w:after="0" w:line="240" w:lineRule="auto"/>
      </w:pPr>
      <w:r>
        <w:separator/>
      </w:r>
    </w:p>
  </w:footnote>
  <w:footnote w:type="continuationSeparator" w:id="0">
    <w:p w:rsidR="00A43177" w:rsidRDefault="00A4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31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34033-2016. Межгосударственный стандарт. Упаковка из картона и комбинированных материалов для пищевой продукции.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317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431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31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A431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31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B7DDB"/>
    <w:rsid w:val="00A43177"/>
    <w:rsid w:val="00C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5863</Words>
  <Characters>33425</Characters>
  <Application>Microsoft Office Word</Application>
  <DocSecurity>2</DocSecurity>
  <Lines>278</Lines>
  <Paragraphs>78</Paragraphs>
  <ScaleCrop>false</ScaleCrop>
  <Company>КонсультантПлюс Версия 4017.00.98</Company>
  <LinksUpToDate>false</LinksUpToDate>
  <CharactersWithSpaces>39210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34033-2016. Межгосударственный стандарт. Упаковка из картона и комбинированных материалов для пищевой продукции. Технические условия"(введен в действие Приказом Росстандарта от 01.06.2017 N 480-ст)</dc:title>
  <dc:subject/>
  <dc:creator>Admin</dc:creator>
  <cp:keywords/>
  <dc:description/>
  <cp:lastModifiedBy>Admin</cp:lastModifiedBy>
  <cp:revision>2</cp:revision>
  <dcterms:created xsi:type="dcterms:W3CDTF">2018-10-08T08:26:00Z</dcterms:created>
  <dcterms:modified xsi:type="dcterms:W3CDTF">2018-10-08T08:26:00Z</dcterms:modified>
</cp:coreProperties>
</file>