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5D44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565D44">
      <w:pPr>
        <w:pStyle w:val="ConsPlusNormal"/>
        <w:ind w:left="540"/>
        <w:jc w:val="both"/>
      </w:pPr>
      <w:r>
        <w:t>"ГОСТ 9142-2014. Межгосударственный стандарт. Ящики из гофрированного картона. Общие технические условия"</w:t>
      </w:r>
    </w:p>
    <w:p w:rsidR="00000000" w:rsidRDefault="00565D44">
      <w:pPr>
        <w:pStyle w:val="ConsPlusNormal"/>
        <w:ind w:left="540"/>
        <w:jc w:val="both"/>
      </w:pPr>
      <w:r>
        <w:t>(введен в действие Приказом Росстандарта от 20.05.2015 N 386-ст)</w:t>
      </w:r>
    </w:p>
    <w:p w:rsidR="00000000" w:rsidRDefault="00565D44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565D44">
      <w:pPr>
        <w:pStyle w:val="ConsPlusNormal"/>
        <w:ind w:left="540"/>
        <w:jc w:val="both"/>
      </w:pPr>
      <w:r>
        <w:t>М.: Стандартинформ, 2015</w:t>
      </w:r>
    </w:p>
    <w:p w:rsidR="00000000" w:rsidRDefault="00565D44">
      <w:pPr>
        <w:pStyle w:val="ConsPlusNormal"/>
      </w:pPr>
      <w:r>
        <w:rPr>
          <w:b/>
          <w:bCs/>
        </w:rPr>
        <w:t>Примечание к документу</w:t>
      </w:r>
    </w:p>
    <w:p w:rsidR="00000000" w:rsidRDefault="00565D44">
      <w:pPr>
        <w:pStyle w:val="ConsPlusNormal"/>
        <w:ind w:left="540"/>
        <w:jc w:val="both"/>
      </w:pPr>
      <w:r>
        <w:t>Текст данного док</w:t>
      </w:r>
      <w:r>
        <w:t>умента приведен с учетом поправки, опубликованной в "ИУС", N 8, 2017.</w:t>
      </w:r>
    </w:p>
    <w:p w:rsidR="00000000" w:rsidRDefault="00565D44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565D44">
      <w:pPr>
        <w:pStyle w:val="ConsPlusNormal"/>
        <w:ind w:left="540"/>
        <w:jc w:val="both"/>
      </w:pPr>
      <w:r>
        <w:t>Документ введен в действие с 1 января 2016 года.</w:t>
      </w:r>
    </w:p>
    <w:p w:rsidR="00000000" w:rsidRDefault="00565D44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565D44">
      <w:pPr>
        <w:pStyle w:val="ConsPlusNormal"/>
        <w:ind w:left="540"/>
        <w:jc w:val="both"/>
      </w:pPr>
      <w:r>
        <w:t>Взамен ГОСТ 9142-90.</w:t>
      </w:r>
    </w:p>
    <w:p w:rsidR="00000000" w:rsidRDefault="00565D44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565D44">
      <w:pPr>
        <w:pStyle w:val="ConsPlusNormal"/>
        <w:jc w:val="both"/>
        <w:outlineLvl w:val="0"/>
      </w:pPr>
    </w:p>
    <w:p w:rsidR="00000000" w:rsidRDefault="00565D44">
      <w:pPr>
        <w:pStyle w:val="ConsPlusNormal"/>
        <w:jc w:val="right"/>
        <w:outlineLvl w:val="0"/>
      </w:pPr>
      <w:r>
        <w:t>Введен в действие</w:t>
      </w:r>
    </w:p>
    <w:p w:rsidR="00000000" w:rsidRDefault="00565D44">
      <w:pPr>
        <w:pStyle w:val="ConsPlusNormal"/>
        <w:jc w:val="right"/>
      </w:pPr>
      <w:r>
        <w:t>Приказом Федерального</w:t>
      </w:r>
    </w:p>
    <w:p w:rsidR="00000000" w:rsidRDefault="00565D44">
      <w:pPr>
        <w:pStyle w:val="ConsPlusNormal"/>
        <w:jc w:val="right"/>
      </w:pPr>
      <w:r>
        <w:t>агентства по техническому</w:t>
      </w:r>
    </w:p>
    <w:p w:rsidR="00000000" w:rsidRDefault="00565D44">
      <w:pPr>
        <w:pStyle w:val="ConsPlusNormal"/>
        <w:jc w:val="right"/>
      </w:pPr>
      <w:r>
        <w:t>регулированию и метрологии</w:t>
      </w:r>
    </w:p>
    <w:p w:rsidR="00000000" w:rsidRDefault="00565D44">
      <w:pPr>
        <w:pStyle w:val="ConsPlusNormal"/>
        <w:jc w:val="right"/>
      </w:pPr>
      <w:r>
        <w:t>от 20 мая 2015 г. N 386-ст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Title"/>
        <w:jc w:val="center"/>
      </w:pPr>
      <w:r>
        <w:t>МЕЖГОСУДАРСТВЕННЫЙ СТАНДАРТ</w:t>
      </w:r>
    </w:p>
    <w:p w:rsidR="00000000" w:rsidRDefault="00565D44">
      <w:pPr>
        <w:pStyle w:val="ConsPlusTitle"/>
        <w:jc w:val="center"/>
      </w:pPr>
    </w:p>
    <w:p w:rsidR="00000000" w:rsidRDefault="00565D44">
      <w:pPr>
        <w:pStyle w:val="ConsPlusTitle"/>
        <w:jc w:val="center"/>
      </w:pPr>
      <w:r>
        <w:t>ЯЩИКИ ИЗ ГОФРИРОВАННОГО КАРТОНА</w:t>
      </w:r>
    </w:p>
    <w:p w:rsidR="00000000" w:rsidRDefault="00565D44">
      <w:pPr>
        <w:pStyle w:val="ConsPlusTitle"/>
        <w:jc w:val="center"/>
      </w:pPr>
    </w:p>
    <w:p w:rsidR="00000000" w:rsidRDefault="00565D44">
      <w:pPr>
        <w:pStyle w:val="ConsPlusTitle"/>
        <w:jc w:val="center"/>
      </w:pPr>
      <w:r>
        <w:t>ОБЩИЕ ТЕХНИЧЕСКИЕ УСЛОВИЯ</w:t>
      </w:r>
    </w:p>
    <w:p w:rsidR="00000000" w:rsidRDefault="00565D44">
      <w:pPr>
        <w:pStyle w:val="ConsPlusTitle"/>
        <w:jc w:val="center"/>
      </w:pPr>
    </w:p>
    <w:p w:rsidR="00000000" w:rsidRDefault="00565D44">
      <w:pPr>
        <w:pStyle w:val="ConsPlusTitle"/>
        <w:jc w:val="center"/>
      </w:pPr>
      <w:r>
        <w:t>Boxes of corrugated board. General specifications</w:t>
      </w:r>
    </w:p>
    <w:p w:rsidR="00000000" w:rsidRDefault="00565D44">
      <w:pPr>
        <w:pStyle w:val="ConsPlusTitle"/>
        <w:jc w:val="center"/>
      </w:pPr>
    </w:p>
    <w:p w:rsidR="00000000" w:rsidRDefault="00565D44">
      <w:pPr>
        <w:pStyle w:val="ConsPlusTitle"/>
        <w:jc w:val="center"/>
      </w:pPr>
      <w:r>
        <w:t>ГОСТ 9142-2014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r>
        <w:t>МКС 55.160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bookmarkStart w:id="0" w:name="Par31"/>
      <w:bookmarkEnd w:id="0"/>
      <w:r>
        <w:t>Дата введения</w:t>
      </w:r>
    </w:p>
    <w:p w:rsidR="00000000" w:rsidRDefault="00565D44">
      <w:pPr>
        <w:pStyle w:val="ConsPlusNormal"/>
        <w:jc w:val="right"/>
      </w:pPr>
      <w:r>
        <w:t>1 января 2016 года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Предисловие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Цел</w:t>
      </w:r>
      <w:r>
        <w:t>и, основные принципы и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</w:t>
      </w:r>
      <w:r>
        <w:t>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Сведения о стандарте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1 РАЗРАБОТАН Техническим комитетом по стандартизации ТК 223 "Упаковка"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2 ВНЕСЕН Федеральным агентством по техническому регулированию и метрологии (Росстандарт)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5 декабря 2014 г. N 46)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За принятие проголосовали: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7"/>
        <w:gridCol w:w="2154"/>
        <w:gridCol w:w="4862"/>
      </w:tblGrid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 xml:space="preserve">Краткое наименование </w:t>
            </w:r>
            <w:r>
              <w:lastRenderedPageBreak/>
              <w:t>страны по МК (ИСО 3166) 004-97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lastRenderedPageBreak/>
              <w:t xml:space="preserve">Код страны по МК </w:t>
            </w:r>
            <w:r>
              <w:lastRenderedPageBreak/>
              <w:t>(ИСО 3166) 004-97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lastRenderedPageBreak/>
              <w:t xml:space="preserve">Сокращенное наименование национального </w:t>
            </w:r>
            <w:r>
              <w:lastRenderedPageBreak/>
              <w:t>органа по стандартизации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lastRenderedPageBreak/>
              <w:t>Армения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Минэкономики Республики Армения</w:t>
            </w:r>
          </w:p>
        </w:tc>
      </w:tr>
      <w:tr w:rsidR="00000000"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Беларусь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BY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Госстандарт Республики Беларусь</w:t>
            </w:r>
          </w:p>
        </w:tc>
      </w:tr>
      <w:tr w:rsidR="00000000"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Казахстан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000000"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Киргизия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Кыргызстандарт</w:t>
            </w:r>
          </w:p>
        </w:tc>
      </w:tr>
      <w:tr w:rsidR="00000000"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Россия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Росстандарт</w:t>
            </w:r>
          </w:p>
        </w:tc>
      </w:tr>
      <w:tr w:rsidR="00000000"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Таджикистан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Таджикстандарт</w:t>
            </w:r>
          </w:p>
        </w:tc>
      </w:tr>
      <w:tr w:rsidR="00000000"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Узбекистан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Узстандарт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4 Приказом Федерального агентства по техническому регулированию и метрологии от 20 мая 2015 г. N 386-ст межгосударственный стандарт ГОСТ 9142-2014 введен в действие в качестве национального стандарта Российской Федерации с 1 января 2016 г.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5 Настоящий стан</w:t>
      </w:r>
      <w:r>
        <w:t>дарт разработан для обеспечения соблюдения требований технического регламента Таможенного союза ТР ТС 005/2011 "О безопасности упаковки"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6 ВЗАМЕН ГОСТ 9142-90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</w:t>
      </w:r>
      <w:r>
        <w:t>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</w:t>
      </w:r>
      <w:r>
        <w:t>иальном сайте Федерального агентства по техническому регулированию и метрологии в сети Интернет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Настоящий стандарт распространяется на ящики из гофрированного картона (далее - ящики), предназначенные для упаковывания пищевой и промы</w:t>
      </w:r>
      <w:r>
        <w:t>шленной продукции.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Ящики, предназначенные для упаковывания опасных грузов, должны соответствовать требованиям ГОСТ 26319.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Стандарт применяют при разработке технической документации на ящики для упаковывания продукции конкретных видов.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2. Нормативные ссылк</w:t>
      </w:r>
      <w:r>
        <w:t>и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межгосударственные стандарты: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427-75 Линейки измерительные металлические. Технические условия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ISO 2234-2014 Упаковка. Тара транспортная наполненная и единичные грузы. Методы ис</w:t>
      </w:r>
      <w:r>
        <w:t>пытаний на штабелирование при статической нагрузке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ISO 2244-2013 Упаковка. Тара транспортная наполненная и грузовые единицы. Методы испытания на горизонтальный удар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lastRenderedPageBreak/>
        <w:t>ГОСТ 3282-74 Проволока стальная низкоуглеродистая общего назначения. Технические услов</w:t>
      </w:r>
      <w:r>
        <w:t>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7502-98 Рулетки измерительные металлические. Технические условия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9078-84 Поддоны плоские. Общие технические условия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10234-77 Лента стальная плющеная средней прочности. Технические условия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14192-96 Маркировка грузов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18106-72 Тара</w:t>
      </w:r>
      <w:r>
        <w:t xml:space="preserve"> транспортная наполненная. Обозначение частей для испытания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18211-72 (ИСО 12048-94) Тара транспортная. Метод испытания на сжатие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18425-73 Тара транспортная наполненная. Метод испытания на удар при свободном падении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18992-80 Дисперсия поливин</w:t>
      </w:r>
      <w:r>
        <w:t>илацетатная гомополимерная грубодисперсная. Технические условия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19434-74 Грузовые единицы, транспортные средства и склады. Основные присоединительные размеры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21140-88 Тара. Система размеров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21798-76 Тара транспортная наполненная. Метод кондиционирования для испытаний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24597-81 Пакеты тарно-штучных грузов. Основные параметры и размеры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25776-83 Продукция штучная и в потребительской таре. Упаковка групповая в термоусадочную пленку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25951-83 Пленка полиэтиленовая термоусадочная. Технические условия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26319-84 Грузы опасные. Упаковка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26663-85 Пакеты транспортные. Формирование с применением средств пакетирования. Общие технические требования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ГОСТ 32096-2013 Картон тароупако</w:t>
      </w:r>
      <w:r>
        <w:t>вочный для пищевой продукции. Общие технические условия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</w:t>
      </w:r>
      <w:r>
        <w:t>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</w:t>
      </w:r>
      <w:r>
        <w:t>рты" за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</w:t>
      </w:r>
      <w:r>
        <w:t>рименяется в части, не затрагивающей эту ссылку.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3. Типы, основные параметры и размеры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3.1 Типы и исполнения ящиков приведены в приложении 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Развертка ящика исполнения А приведена в приложении Б.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Допускается по согласованию с потребителем изготовлять ящ</w:t>
      </w:r>
      <w:r>
        <w:t>ики других типов с различными конструктивными элементами.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3.2 Внутренние и наружные размеры ящиков устанавливают в технической документации на </w:t>
      </w:r>
      <w:r>
        <w:lastRenderedPageBreak/>
        <w:t>конкретные виды ящиков с учетом массы, габаритов и особенностей упаковываемой продукции.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Предпочтительными размер</w:t>
      </w:r>
      <w:r>
        <w:t>ами ящиков являются унифицированные размеры, установленные с учетом требований ГОСТ 21140.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3.3 Рекомендуемое отношение длины ящика к его ширине - не более 2,5:1; отношение высоты к ширине - не более 2:1 и не менее 0,5:1.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Допускается изготовление ящиков с д</w:t>
      </w:r>
      <w:r>
        <w:t>ругим соотношением сторон для изделий конструкция, размеры, а также требования к упаковке которых не позволяют выполнять указанные выше требования.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" w:name="Par117"/>
      <w:bookmarkEnd w:id="1"/>
      <w:r>
        <w:t>3.4 Допускаемые отклонения от внутренних (контролируемых) размеров ящиков не должны превышать: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</w:t>
      </w:r>
      <w:r>
        <w:t xml:space="preserve"> 2 мм - для ящиков, изготовленных из гофрированного картона с профилем гофра E и F по технической документации &lt;*&gt;;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- 3 мм - для ящиков, изготовленных из гофрированного картона типа Т с профилем гофра A, C и B по технической документации &lt;*&gt;;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- 5 мм - для </w:t>
      </w:r>
      <w:r>
        <w:t>ящиков, изготовленных из гофрированного картона типов П и С по технической документации &lt;*&gt;.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&lt;*&gt; В Российской Федерации действует стандарт [1].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По согласованию с заказчиком для крупногабаритных ящиков допускается устанавливать другие отклонения от внутренних размеров.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2" w:name="Par125"/>
      <w:bookmarkEnd w:id="2"/>
      <w:r>
        <w:t>3.5 Зазор в стыке наружных или внутренних клапанов при сборке ящиков исполнений А, Г, Д, Е, Ж, З, изготовленных из карт</w:t>
      </w:r>
      <w:r>
        <w:t>она типа Т, должен быть не более 5 мм, типа П - не более 10 мм, типа С - не более 14 мм.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Допускается зазор в стыке наружных или внутренних клапанов до 20 мм для ящиков с продукцией, упакованной в потребительскую упаковку, и ящиков, укомплектованных проклад</w:t>
      </w:r>
      <w:r>
        <w:t>ками (см. рисунки В.1, В.8, приложение В).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По согласованию с заказчиком допускается зазор в стыке наружных клапанов дна и крышки до 50 мм для ящиков, укомплектованных обечайкой.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4. Технические требования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4.1 Характеристики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4.1.1 Показатели механической п</w:t>
      </w:r>
      <w:r>
        <w:t>рочности ящиков: сопротивление сжатию, прочность при штабелировании, сопротивление ударам при свободном падении, сопротивление горизонтальному удару устанавливают в технической документации на ящики для конкретных видов продукции в зависимости от способнос</w:t>
      </w:r>
      <w:r>
        <w:t>ти продукции воспринимать или не воспринимать нагрузку при штабелировании.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4.1.2 Способность продукции воспринимать нагрузку при штабелировании устанавливают в технической документации на упаковываемую продукцию с учетом требований, предъявляемых к ее упак</w:t>
      </w:r>
      <w:r>
        <w:t>овке, хранению и транспортированию.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4.1.3 Для ящиков в зависимости от вида упаковываемой продукции предусматривают показатели механической прочности, указанные в таблице 1.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r>
        <w:t>Таблица 1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701"/>
        <w:gridCol w:w="1642"/>
        <w:gridCol w:w="1701"/>
        <w:gridCol w:w="1685"/>
      </w:tblGrid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Ящики для продукции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воспринимающей нагрузку при штабелировании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не воспринимающей нагрузку при штабелировании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маркированные "Хрупкое. Осторожно"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немаркированные "Хрупкое. Осторожно"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маркированные "Хрупкое. Осторожно"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немаркированные "Хрупкое. Осторожно"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сжатию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ударам при свободном падении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горизонтальному удару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ind w:firstLine="283"/>
            </w:pPr>
            <w:r>
              <w:t>Прочность при штабелировании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Примечание - Знак "+" означает, что испытание проводят; знак "-" - не проводят.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Допускается в технической документации на ящики для конкретных видов продукции устанавливать другие показатели с соответствующими значениями.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3" w:name="Par169"/>
      <w:bookmarkEnd w:id="3"/>
      <w:r>
        <w:t>4.1.4 Усилие сопротивления ящиков сжатию P, Н, должно быть не менее вычисляемого по формуле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4" w:name="Par171"/>
      <w:bookmarkEnd w:id="4"/>
      <w:r>
        <w:t>P = 9,8KK</w:t>
      </w:r>
      <w:r>
        <w:rPr>
          <w:vertAlign w:val="subscript"/>
        </w:rPr>
        <w:t>0</w:t>
      </w:r>
      <w:r>
        <w:t>m(n - 1), (1)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где K - коэффициент запаса прочности, учитывающий нагрузки, возникающие при транспортировании и хранении, равный: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0,6 - для ящиков с высеченными элементами по высоте ящика;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3,0 - для ящиков, применяемых для продукции, не восприн</w:t>
      </w:r>
      <w:r>
        <w:t>имающей нагрузку штабеля;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0</w:t>
      </w:r>
      <w:r>
        <w:t xml:space="preserve"> - коэффициент запаса прочности, равный 1,86, учитывающий, что продукция хранится в помещении с повышенной влажностью (75% - 80%) для продукции, не воспринимающей нагрузку;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m - масса упаковки с продукцией (масса брутто), кг;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n - количество ящиков по высоте штабеля.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Высоту штабеля устанавливают в технической документации на ящики для конкретных видов продукции с учетом свойств упаковываемой продукции, полной вместимости и/или грузоподъемности транспортных средств.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5" w:name="Par180"/>
      <w:bookmarkEnd w:id="5"/>
      <w:r>
        <w:t>4</w:t>
      </w:r>
      <w:r>
        <w:t>.1.5 Массу груза M, кг, которую должны выдерживать ящики при определении сопротивления сжатию при штабелировании, вычисляют по формуле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M = 0,1K</w:t>
      </w:r>
      <w:r>
        <w:rPr>
          <w:vertAlign w:val="subscript"/>
        </w:rPr>
        <w:t>у</w:t>
      </w:r>
      <w:r>
        <w:t>P, (2)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где K</w:t>
      </w:r>
      <w:r>
        <w:rPr>
          <w:vertAlign w:val="subscript"/>
        </w:rPr>
        <w:t>у</w:t>
      </w:r>
      <w:r>
        <w:t xml:space="preserve"> - коэффициент, равный 0,82, учитывающий условия нагрузки ящиков в штабеле;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P - усилие сопротивле</w:t>
      </w:r>
      <w:r>
        <w:t>ния ящика сжатию, Н, вычисляемое по формуле (1).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При определении прочности при штабелировании ящик выдерживают под нагрузкой в течение </w:t>
      </w:r>
      <w:r>
        <w:lastRenderedPageBreak/>
        <w:t>времени, установленного в технической документации на ящики для конкретных видов продукции.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Если в технической документац</w:t>
      </w:r>
      <w:r>
        <w:t>ии на ящики для конкретных видов продукции не указана продолжительность испытания, то ящик выдерживают в течение 24 ч.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6" w:name="Par188"/>
      <w:bookmarkEnd w:id="6"/>
      <w:r>
        <w:t xml:space="preserve">4.1.6 Показатель сопротивления ящиков горизонтальному удару устанавливают в технической документации на ящики для конкретных </w:t>
      </w:r>
      <w:r>
        <w:t>видов продукции. При этом расстояние, проходимое тележкой, должно быть равно 0,6 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Если в технической документации на ящики для конкретных видов продукции нет указаний, то последовательность и количество ударов устанавливают по ГОСТ ISO 2244, при этом рек</w:t>
      </w:r>
      <w:r>
        <w:t>омендуемая скорость соударения должна быть не менее 1,4 м/с.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7" w:name="Par190"/>
      <w:bookmarkEnd w:id="7"/>
      <w:r>
        <w:t xml:space="preserve">4.1.7 Высота сбрасывания ящиков при определении сопротивления ударам при свободном падении должна соответствовать указанной в таблице 2. Число ударов и последовательность сбрасываний </w:t>
      </w:r>
      <w:r>
        <w:t>устанавливают в технической документации на ящики для конкретных видов продукции.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r>
        <w:t>Таблица 2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964"/>
        <w:gridCol w:w="964"/>
        <w:gridCol w:w="964"/>
        <w:gridCol w:w="964"/>
        <w:gridCol w:w="964"/>
        <w:gridCol w:w="964"/>
        <w:gridCol w:w="964"/>
      </w:tblGrid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Масса продукции в ящике, кг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св. 7,5 до 10 включ.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св. 10 до 15 включ.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св. 15 до 20 включ.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св. 20 до 25 включ.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св. 25 до 30 включ.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св. 30 до 35 включ.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св. 35 до 40 включ.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Высота сбрасывания,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  <w:jc w:val="both"/>
            </w:pPr>
            <w:r>
              <w:t xml:space="preserve">Примечание - Для ящиков, предназначенных для </w:t>
            </w:r>
            <w:r>
              <w:t>упаковывания продукции массой менее 7,5 кг и свыше 40 кг, количество ударов и последовательность сбрасываний не нормируют.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Если в технической документации на ящики для конкретных видов продукции нет указаний, то количество и последовательность сбрасывани</w:t>
      </w:r>
      <w:r>
        <w:t>й устанавливают по ГОСТ 18425.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4.1.8 Ящики изготовляют из одного листа гофрированного картона.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По согласованию с заказчиком допускается изготовлять ящики из двух и более листов картона, при условии обеспечения механической прочности ящиков.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4.1.9 Направление гофров в ящике, в зависимости от способности продукции воспринимать или не воспринимать нагрузку при штабелировании, устанавливают в технической документации на ящики для конкретных видов продукции. Рекомендуемое направление гофров в ящик</w:t>
      </w:r>
      <w:r>
        <w:t>е - параллельно высоте ящика.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4.1.10 Линии сгиба ящиков наносят рилевкой, биговкой, перфорацией и/или их комбинацией. Способ нанесения линий сгиба ящиков для конкретных видов продукции согласовывают с заказчиком.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Линии сгиба должны быть взаимно перпендикул</w:t>
      </w:r>
      <w:r>
        <w:t>ярными и обеспечивать формирование ящиков с заданными внутренними размерами.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8" w:name="Par219"/>
      <w:bookmarkEnd w:id="8"/>
      <w:r>
        <w:t>4.1.11 Отклонение от перпендикулярности линий сгиба не должно превышать 8 мм на 1 м длины.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9" w:name="Par220"/>
      <w:bookmarkEnd w:id="9"/>
      <w:r>
        <w:t xml:space="preserve">4.1.12 Отклонение положения прорезей и отверстий от заданного в </w:t>
      </w:r>
      <w:r>
        <w:t>чертежах не должно превышать +/- 5,0 мм.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4.1.13 Ящики по соединительному клапану склеивают или сшивают, или сшивают и склеивают.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4.1.14 Вид скрепления ящика и исполнение соединительного клапана устанавливают в технической документации или чертежах на ящики</w:t>
      </w:r>
      <w:r>
        <w:t xml:space="preserve"> для конкретных видов продукции (приложение Г).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0" w:name="Par223"/>
      <w:bookmarkEnd w:id="10"/>
      <w:r>
        <w:lastRenderedPageBreak/>
        <w:t>4.1.15 Скобы располагают под любым углом параллельно или перпендикулярно к высоте ящика.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Расстояние от крайних скоб до поперечных кромок соединительного клапана должно быть не более 25 мм, до прод</w:t>
      </w:r>
      <w:r>
        <w:t>ольных кромок - не менее 5 мм.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Расстояние между скобами должно быть, мм, не более: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- 60 - при массе упаковываемой продукции до 10 кг;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- 45 - при массе упаковываемой продукции до 20 кг;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- 35 - при массе упаковываемой продукции св. 20 кг.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Допускается по согл</w:t>
      </w:r>
      <w:r>
        <w:t>асованию с потребителем в технической документации или чертежах на ящики для конкретных видов продукции устанавливать другое расстояние между скобами.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4.1.16 Разность ширины зазора по клеевому соединению ящика, измеренная сверху и снизу (рисунок 1), не дол</w:t>
      </w:r>
      <w:r>
        <w:t>жна превышать, мм: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- 2 - при высоте ящика до 300 мм;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- 4 - при высоте ящика от 300 до 600 мм;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- 6 - при высоте ящика от 600 до 1500 мм;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- 8 - при высоте ящика св. 1500 мм.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131"/>
        </w:rPr>
        <w:drawing>
          <wp:inline distT="0" distB="0" distL="0" distR="0">
            <wp:extent cx="2159635" cy="1800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a</w:t>
      </w:r>
      <w:r>
        <w:rPr>
          <w:vertAlign w:val="subscript"/>
        </w:rPr>
        <w:t>1</w:t>
      </w:r>
      <w:r>
        <w:t xml:space="preserve"> - ширина зазора по клеевому</w:t>
      </w:r>
    </w:p>
    <w:p w:rsidR="00000000" w:rsidRDefault="00565D44">
      <w:pPr>
        <w:pStyle w:val="ConsPlusNormal"/>
        <w:jc w:val="center"/>
      </w:pPr>
      <w:r>
        <w:t>оединению ящик</w:t>
      </w:r>
      <w:r>
        <w:t>а, измеренная снизу;</w:t>
      </w:r>
    </w:p>
    <w:p w:rsidR="00000000" w:rsidRDefault="00565D44">
      <w:pPr>
        <w:pStyle w:val="ConsPlusNormal"/>
        <w:jc w:val="center"/>
      </w:pPr>
      <w:r>
        <w:t>a</w:t>
      </w:r>
      <w:r>
        <w:rPr>
          <w:vertAlign w:val="subscript"/>
        </w:rPr>
        <w:t>2</w:t>
      </w:r>
      <w:r>
        <w:t xml:space="preserve"> - ширина зазора по клеевому</w:t>
      </w:r>
    </w:p>
    <w:p w:rsidR="00000000" w:rsidRDefault="00565D44">
      <w:pPr>
        <w:pStyle w:val="ConsPlusNormal"/>
        <w:jc w:val="center"/>
      </w:pPr>
      <w:r>
        <w:t>соединению ящика, измеренная сверху;</w:t>
      </w:r>
    </w:p>
    <w:p w:rsidR="00000000" w:rsidRDefault="00565D44">
      <w:pPr>
        <w:pStyle w:val="ConsPlusNormal"/>
        <w:jc w:val="center"/>
      </w:pPr>
      <w:r>
        <w:t>h - высота ящика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1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4.1.17 Допускаемое отклонение ширины зазора по клеевому соединению ящика (рисунок 2) должно быть: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+/- 4 мм - для ящиков, изготовляемых из гофрированного картона типа Т;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+/- 6 мм - для ящиков, изготовляемых из гофрированного картона типа П.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126"/>
        </w:rPr>
        <w:lastRenderedPageBreak/>
        <w:drawing>
          <wp:inline distT="0" distB="0" distL="0" distR="0">
            <wp:extent cx="2395220" cy="173926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a - ширина зазора по клеевому соединению ящика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2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4.1.18 При складывании и склеивании ящиков в местах склейки поверхностей выступ кромки одной поверхности относительно другой (рисунок 3) не должен превышать, мм: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- 2 мм - при ширине развертки ящика до 400 мм;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- 3 мм - при ширине развертки ящика от 400 до 8</w:t>
      </w:r>
      <w:r>
        <w:t>00 мм включ.;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- 5 мм - при ширине развертки ящика св. 800 мм.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113"/>
        </w:rPr>
        <w:drawing>
          <wp:inline distT="0" distB="0" distL="0" distR="0">
            <wp:extent cx="2473960" cy="156527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3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4.1.19 В ящиках не допускаются: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смещение высечки клапанов по высоте ящика более, мм: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5 - для ящиков из гофрированного картона типа Т;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10 - для ящиков из гофрированного картона типа П;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14 - для ящиков из гофрированного картона типа С;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задиры на внутренних плоских слоях картона для ящиков, имеющих непосредственный контакт с пищевой продукцией;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задиры на наружных и внутренних плоских сл</w:t>
      </w:r>
      <w:r>
        <w:t>оях картона общей площадью более 80 см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 xml:space="preserve"> для ящиков, не имеющих непосредственного контакта с пищевой продукцией;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несклеенные участки на наружном плоском слое картона;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lastRenderedPageBreak/>
        <w:t>- несклеенные участки на внутреннем плоском слое картона общей площадью более 50 см</w:t>
      </w:r>
      <w:r>
        <w:rPr>
          <w:vertAlign w:val="superscript"/>
        </w:rPr>
        <w:t>2</w:t>
      </w:r>
      <w:r>
        <w:t>/</w:t>
      </w:r>
      <w:r>
        <w:t>м</w:t>
      </w:r>
      <w:r>
        <w:rPr>
          <w:vertAlign w:val="superscript"/>
        </w:rPr>
        <w:t>2</w:t>
      </w:r>
      <w:r>
        <w:t>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разрывы, разрезы, расслоение кромок клапана на глубину более 10 мм от края кромки;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пятна размером более 20 мм в наибольшем измерении;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складки и морщины длиной более 50 мм на наружном плоском слое гофрированного картона.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Длину морщин и складок на </w:t>
      </w:r>
      <w:r>
        <w:t>внутреннем плоском слое без обнажения гофрированного слоя не нормируют.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1" w:name="Par278"/>
      <w:bookmarkEnd w:id="11"/>
      <w:r>
        <w:t>4.1.20 Допускаются складки и морщины на наружном слое гофрированного картона в случае нестандартной технологической особенности оборудования - направления захода листа гофр</w:t>
      </w:r>
      <w:r>
        <w:t>ированного картона (заготовки) в линию перпендикулярно к направлению гофры.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4.1.21 При нанесении перфорации допускаются трещины внутреннего плоского слоя гофрированного картона длиной не более 30% общей длины линий перфорирования для гофрированного картона</w:t>
      </w:r>
      <w:r>
        <w:t xml:space="preserve"> типов Т и П и 40% - для гофрированного картона типа С, если другое не согласовано с заказчиком.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4.1.22 На наружной поверхности ящиков допускается наличие вмятин и продавливаний, образующихся от технологической оснастки, транспортных ремней (строповочных л</w:t>
      </w:r>
      <w:r>
        <w:t>ент), при сшивке, склейке или упаковке, без обнажения гофрированного слоя.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4.1.23 Клей для склейки ящиков по соединительному шву наносят равномерно, допускается точечная склейка. Клеевое соединение должно быть прочным и обеспечивать невозможность разделени</w:t>
      </w:r>
      <w:r>
        <w:t>я склеенных поверхностей без их разрушения.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2" w:name="Par282"/>
      <w:bookmarkEnd w:id="12"/>
      <w:r>
        <w:t>4.1.24 Не допускается затекание клея на лицевую и внутреннюю поверхности ящиков, отсутствие клея в местах склейки, предусмотренных чертежами.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3" w:name="Par283"/>
      <w:bookmarkEnd w:id="13"/>
      <w:r>
        <w:t>4.1.25 Клапаны ящиков с четырехклапанными дном</w:t>
      </w:r>
      <w:r>
        <w:t xml:space="preserve"> и крышкой с линиями сгибов, нанесенными рилевкой или биговкой, должны выдерживать не менее 10 двойных перегибов на 180° по линии сгиба.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Допускаются трещины длиной не более 25 мм с внутренней стороны ящика без обнажения гофрированного слоя по линии сгиба.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Примечание - Данные требования не распространяются на ящики, линии сгиба которых нанесены перфорацией.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4.1.26 Элементы скрепления складных лотковых и оберточных ящиков по линиям сгиба должны обеспечивать жесткую конструкцию ящиков в собранном виде.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4.1.27</w:t>
      </w:r>
      <w:r>
        <w:t xml:space="preserve"> В зависимости от свойств упаковываемой продукции по согласованию с заказчиком ящики изготовляют с отверстиями, демонстрационными окнами и замками. Языки замков должны точно входить в ответные отверстия и фиксироваться.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4" w:name="Par289"/>
      <w:bookmarkEnd w:id="14"/>
      <w:r>
        <w:t>4.1.28 Ящики для пищевой</w:t>
      </w:r>
      <w:r>
        <w:t xml:space="preserve"> продукции должны быть чистыми, без запаха, влияющего на качество упаковываемой продукции.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5" w:name="Par290"/>
      <w:bookmarkEnd w:id="15"/>
      <w:r>
        <w:t>4.1.29 Допускается по согласованию с заказчиком наносить на наружную и внутреннюю поверхности ящиков художественное оформление в соответствии с утвержден</w:t>
      </w:r>
      <w:r>
        <w:t>ным образцом-эталоном.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Печать должна быть четкой, легко читаемой, не красящейся. Не допускаются загрязнения или пятна от печатной краски, затрудняющие чтение надписей, отслоение краски.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Цвет печати должен соответствовать утвержденному образцу-эталону. Допускается отклонение от цвета, но не более чем на тон по каталогу цветов.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Смещение печати относительно заданного в чертежах не должно превышать 5 мм.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lastRenderedPageBreak/>
        <w:t xml:space="preserve">При многоцветной печати отклонение от </w:t>
      </w:r>
      <w:r>
        <w:t>совмещения красок относительно друг друга не должно превышать 2 мм.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 Требование к сырью и материалам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4.2.1 Для изготовления ящиков применяют гофрированный картон по технической документации &lt;*&gt;.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По согласованию с заказчиком допускается применять картон </w:t>
      </w:r>
      <w:r>
        <w:t xml:space="preserve">с повышенными защитными свойствами, влагопрочный картон, картон с полимерным или лакокрасочным покрытием, с белым или цветным покровным слоем по технической документации или другие виды картона по технической документации, по качеству не ниже указанного и </w:t>
      </w:r>
      <w:r>
        <w:t>обеспечивающие сохранность продукции.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4.2.2 Вспомогательные упаковочные средства в зависимости от вида и назначения ящика изготовляют из картона типов Т и П по технической документации &lt;*&gt;, тароупаковочного картона для пищевой продукции по ГОСТ 32096.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По с</w:t>
      </w:r>
      <w:r>
        <w:t xml:space="preserve">огласованию с заказчиком допускается изготовлять вспомогательные упаковочные средства из картона других типов, из отходов производства или из ящиков, бывших в употреблении, при условии отсутствия загрязнений, запахов, разрывов плоских слоев гофрированного </w:t>
      </w:r>
      <w:r>
        <w:t>картона.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6" w:name="Par301"/>
      <w:bookmarkEnd w:id="16"/>
      <w:r>
        <w:t>&lt;*&gt; В Российской Федерации действует стандарт [1].</w:t>
      </w:r>
    </w:p>
    <w:p w:rsidR="00000000" w:rsidRDefault="00565D44">
      <w:pPr>
        <w:pStyle w:val="ConsPlusNormal"/>
        <w:ind w:firstLine="540"/>
        <w:jc w:val="both"/>
      </w:pPr>
    </w:p>
    <w:p w:rsidR="00000000" w:rsidRDefault="00565D44">
      <w:pPr>
        <w:pStyle w:val="ConsPlusNormal"/>
        <w:ind w:firstLine="540"/>
        <w:jc w:val="both"/>
      </w:pPr>
      <w:r>
        <w:t>4.2.3 Ящики, предназначенные для продукции, не воспринимающей нагрузку при штабелировании, изготовляют из гофрированного картона с сопротивлением торц</w:t>
      </w:r>
      <w:r>
        <w:t>евому сжатию вдоль гофров, указанному в таблице Д.1 приложения Д.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4.2.4 Ящики, предназначенные для продукции, воспринимающей нагрузку при штабелировании, изготовляют из гофрированного картона с абсолютным сопротивлением продавливанию и удельным сопротивлен</w:t>
      </w:r>
      <w:r>
        <w:t>ием разрыву по линии рилевки, указанными в таблице Д.2 приложения Д.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4.2.5 Марку картона для изготовления ящиков и вспомогательных упаковочных средств определяют с учетом способности упаковываемой продукции воспринимать или не воспринимать нагрузку при шта</w:t>
      </w:r>
      <w:r>
        <w:t>белировании, согласовывают с заказчиком и устанавливают в технической документации на ящики для конкретных видов продукции.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4.2.6 Для склеивания ящиков применяют поливинилацетатную дисперсию по ГОСТ 18992. Допускается применять другие клеи по технической д</w:t>
      </w:r>
      <w:r>
        <w:t>окументации, обеспечивающие необходимую прочность склейки ящиков.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4.2.7 Для печати используют краски для флексографической, офсетной и трафаретной печати по технической документации.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Способы нанесения печати, требования к содержанию и качеству печати устан</w:t>
      </w:r>
      <w:r>
        <w:t>авливают в технической документации на ящики для конкретных видов продукции по согласованию с заказчиком.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4.2.8 Для сшивания соединительных клапанов ящиков применяют проволоку диаметром 0,7 - 1,0 мм по ГОСТ 3282 или стальную плющеную ленту шириной (2,5 +/-</w:t>
      </w:r>
      <w:r>
        <w:t xml:space="preserve"> 0,3) мм и толщиной 0,4 - 1,0 мм по ГОСТ 10234.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4.2.9 Санитарно-гигиенические показатели безопасности и нормативы веществ, выделяющихся из материалов, применяемых для изготовления ящиков, контактирующих с пищевой продукцией, должны соответствовать требован</w:t>
      </w:r>
      <w:r>
        <w:t>иям технического регламента [2].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Ящики, предназначенные для упаковывания детского питания, парфюмерно-косметической продукции, игрушек, изделий детского ассортимента, не должны выделять в контактирующие с ними модельные среды и воздушную среду вещества в к</w:t>
      </w:r>
      <w:r>
        <w:t xml:space="preserve">оличествах, вредных для здоровья человека, превышающих предельно допустимые количества миграции химических веществ по техническому </w:t>
      </w:r>
      <w:r>
        <w:lastRenderedPageBreak/>
        <w:t>регламенту [2].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7" w:name="Par312"/>
      <w:bookmarkEnd w:id="17"/>
      <w:r>
        <w:t>4.3 Комплектность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4.3.1 По согласованию с заказчиком в зависимости от назначения ящиков, габаритн</w:t>
      </w:r>
      <w:r>
        <w:t>ых размеров, свойств упаковываемой продукции и с учетом требований к упаковке, установленных в технической документации на упаковываемую продукцию, способности упаковываемой продукции воспринимать или не воспринимать нагрузку при штабелировании, условий тр</w:t>
      </w:r>
      <w:r>
        <w:t>анспортирования и сроков хранения продукции ящики комплектуют вспомогательными упаковочными средствами: обечайками, вкладышами, перегородками, решетками, прокладками, амортизаторами.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Конструкции и размеры вспомогательных упаковочных средств устанавливают в</w:t>
      </w:r>
      <w:r>
        <w:t xml:space="preserve"> технической документации на ящики для конкретных видов продукции и согласовывают с заказчиком.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4.4 Маркировка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На каждый ящик наносят маркировку с указанием: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товарного знака и/или наименования предприятия - изготовителя ящиков;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обозначения настоящего с</w:t>
      </w:r>
      <w:r>
        <w:t>тандарта или другой технической документации, по которой изготовлен ящик;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знака о возможности утилизации "Петли Мёбиуса" с указанием материала, из которого изготовлены ящики, в виде цифрового кода и/или аббревиатуры по техническому регламенту [2];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символа "для пищевой продукции" для ящиков, контактирующих с пищевой продукцией по стандарту [1].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4.4.1 На каждой грузовой единице и в товаросопроводительной документации указывают: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наименование и назначение ящика;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</w:t>
      </w:r>
      <w:r>
        <w:t xml:space="preserve"> наименование предприятия-изготовителя, его юридический адрес и контактные телефоны;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фамилию уполномоченного изготовителем лица, импортера (при наличии), его юридический адрес и контактные телефоны;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товарный знак (при наличии);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тип, исполнение, разме</w:t>
      </w:r>
      <w:r>
        <w:t>ры ящика;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дату изготовления (месяц, год);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обозначение настоящего стандарта или другой технической документации, по которой изготовлен ящик;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знак о возможности утилизации "Петлю Мёбиуса" с указанием материала, из которого изготовлены ящики, в виде циф</w:t>
      </w:r>
      <w:r>
        <w:t>рового кода и/или аббревиатуры по техническому регламенту [2];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символ "для пищевой продукции" для ящиков, контактирующих с пищевой продукцией по техническому регламенту [2].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4.4.2 Знак обращения на рынке проставляют в товаросопроводительной документации </w:t>
      </w:r>
      <w:r>
        <w:t>в соответствии с техническим регламентом [2].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4.4.3 По согласованию с заказчиком допускается наносить на ящики маркировку, характеризующую </w:t>
      </w:r>
      <w:r>
        <w:lastRenderedPageBreak/>
        <w:t>упаковываемую продукцию, и дополнительные манипуляционные знаки.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4.4.4 Транспортная маркировка - по ГОСТ 14192 с указ</w:t>
      </w:r>
      <w:r>
        <w:t>анием манипуляционных знаков: "Беречь от влаги" и "Крюками не брать". Количество маркировочных ярлыков, способ нанесения и место размещения ярлыка указывают в технической документации на ящики для конкретных видов продукции или согласовывают с заказчиком.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Допускается совмещение транспортной маркировки и маркировки, характеризующей продукцию.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 транспортировании ящиков транспортными пакетами по согласованию с заказчиком транспортную маркировку допускается наносить на одну из сторон транспортного пакета.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</w:t>
      </w:r>
      <w:r>
        <w:t>4.5 Маркировку наносят на русском языке и/или государственном языке страны - изготовителя ящиков с учетом соответствующих требований, установленных законодательством государств.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По согласованию с заказчиком маркировку наносят на другом языке.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4.4.6 Способы</w:t>
      </w:r>
      <w:r>
        <w:t>, место нанесения и содержание маркировки устанавливают в технической документации на ящики для продукции конкретных видов и в заказах на поставку с учетом требований и норм законодательства государств.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Маркировка должна быть четкой и легко читаемой.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4.5 У</w:t>
      </w:r>
      <w:r>
        <w:t>паковка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4.5.1 Ящики и вспомогательные упаковочные средства поставляют в кипах, сформированных в транспортные пакеты на плоских поддонах по ГОСТ 9078 или другой технической документации с учетом требований ГОСТ 26663.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По согласованию с заказчиком допускаетс</w:t>
      </w:r>
      <w:r>
        <w:t>я формировать транспортные пакеты на настилах из досок или других листовых материалов.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4.5.2 Предпочтительными размерами поддонов являются унифицированные размеры, соответствующие ГОСТ 19434.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4.5.3 В каждой кипе должны быть ящики одного типа, исполнения, р</w:t>
      </w:r>
      <w:r>
        <w:t>азмера и одинакового художественного оформления.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Допускается по согласованию с заказчиком упаковывать в кипы ящики и/или вспомогательные упаковочные средства разных размеров.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4.5.4 Кипы обвязывают полипропиленовым шнуром или лентой, или другими обвязочными материалами по технической документации, обеспечивающими прочность обвязки.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Кипу обвязывают по одной из сторон одним или двумя поясами, или крестообразно.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Допускается по согл</w:t>
      </w:r>
      <w:r>
        <w:t>асованию с заказчиком формировать ящики в транспортные пакеты без разделения на кипы.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4.5.5 Транспортные пакеты, сформированные на поддонах, обертывают по всей высоте растягивающейся пленкой по ГОСТ 25951 или другими видами пленок по технической документац</w:t>
      </w:r>
      <w:r>
        <w:t>ии и/или обвязывают транспортными ремнями (лентой) по технической документации.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По согласованию с заказчиком допускается применять другие виды упаковки, обеспечивающие сохранность ящиков и вспомогательных упаковочных средств.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4.5.6 Для предотвращения повре</w:t>
      </w:r>
      <w:r>
        <w:t>ждений продукции при транспортировании допускается использовать дополнительные средства защиты: деревянные щиты, уголки, прокладки по технической документации.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lastRenderedPageBreak/>
        <w:t>5. Требования безопасности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5.1 Ящики из гофрированного картона нетоксичны, в обращении безопас</w:t>
      </w:r>
      <w:r>
        <w:t>ны. Ящики являются горючим материалом, пожароопасны.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 хранении ящики следует защищать от источников возгорания и соблюдать правила пожарной безопасности.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 загорании ящиков их следует тушить любыми средствами пожаротушения.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5.2 Производство ящиков свя</w:t>
      </w:r>
      <w:r>
        <w:t>зано с применением слаботоксичных и пожароопасных материалов.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Ящики следует изготовлять в помещениях, оборудованных, местной и общеобменной приточно-вытяжной вентиляциями.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Помещение должно соответствовать санитарным нормам и нормам пожароопасности.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Произво</w:t>
      </w:r>
      <w:r>
        <w:t>дство ящиков должно быть обеспечено техническими средствами контроля за воздушной средой в рабочей зоне.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5.3 При изготовлении ящиков выделяется бумажная пыль. Предельно допустимая концентрация бумажной пыли в воздухе рабочей зоны производственных помещений</w:t>
      </w:r>
      <w:r>
        <w:t xml:space="preserve"> - 6,0 мг/м</w:t>
      </w:r>
      <w:r>
        <w:rPr>
          <w:vertAlign w:val="superscript"/>
        </w:rPr>
        <w:t>3</w:t>
      </w:r>
      <w:r>
        <w:t>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Превышение предельно допустимой концентрации бумажной пыли оказывает раздражающее действие на слизистую оболочку дыхательных путей.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Бумажная пыль способна к возгоранию от источников открытого огня.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5.4 При использовании в производственных усл</w:t>
      </w:r>
      <w:r>
        <w:t>овиях (при высыхании) непластифицированной поливинилацетатной дисперсии происходит выделение в воздух винилацетата и уксусной кислоты. При использовании пластифицированной дисперсии дополнительно выделяется пластификатор - дибутилфталат.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Предельно допустим</w:t>
      </w:r>
      <w:r>
        <w:t>ые концентрации в воздухе рабочей зоны: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винилацетата - 10 мг/м</w:t>
      </w:r>
      <w:r>
        <w:rPr>
          <w:vertAlign w:val="superscript"/>
        </w:rPr>
        <w:t>3</w:t>
      </w:r>
      <w:r>
        <w:t>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уксусной кислоты - 5 мг/м</w:t>
      </w:r>
      <w:r>
        <w:rPr>
          <w:vertAlign w:val="superscript"/>
        </w:rPr>
        <w:t>3</w:t>
      </w:r>
      <w:r>
        <w:t>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дибутилфталата - 0,5 мг/м</w:t>
      </w:r>
      <w:r>
        <w:rPr>
          <w:vertAlign w:val="superscript"/>
        </w:rPr>
        <w:t>3</w:t>
      </w:r>
      <w:r>
        <w:t>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Превышение предельно допустимой концентрации вызывает раздражение слизистой оболочки верхних дыхательных путей и глаз. Винилацета</w:t>
      </w:r>
      <w:r>
        <w:t>т обладает общетоксическим действием.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5.5 Флексографские краски, используемые для печати на ящиках, являются слаботоксичным и пожароопасным продуктом из-за наличия в них диэтиленгликоля и аммиака.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Температура вспышки диэтиленгликоля - 147 °C, температура воспламенения - 163 °C.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Предельно допустимые концентрации в рабочей зоне: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диэтиленгликоля - 0,2 мг/м</w:t>
      </w:r>
      <w:r>
        <w:rPr>
          <w:vertAlign w:val="superscript"/>
        </w:rPr>
        <w:t>3</w:t>
      </w:r>
      <w:r>
        <w:t>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аммиака - 0,2 мг/м</w:t>
      </w:r>
      <w:r>
        <w:rPr>
          <w:vertAlign w:val="superscript"/>
        </w:rPr>
        <w:t>3</w:t>
      </w:r>
      <w:r>
        <w:t>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Превышение предельно допустимой концентрации диэтиленгликоля и аммиака</w:t>
      </w:r>
      <w:r>
        <w:t xml:space="preserve"> вызывает общетоксическое действие.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6. Требования ресурсосбережения и экологии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6.1 В целях ресурсосбережения и исключения загрязнения окружающей среды отходы, образующиеся при изготовлении ящиков, а также ящики, бывшие в употреблении, утилизируют и перер</w:t>
      </w:r>
      <w:r>
        <w:t>абатывают во вторичное сырье на предприятиях по переработке картона.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6.2 Ящики, бывшие в употреблении и непригодные для переработки во вторичное сырье, должны быть подвергнуты захоронению или утилизации в порядке, установленном законодательством государств</w:t>
      </w:r>
      <w:r>
        <w:t>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7. Правила приемки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7.1 Ящики предъявляют к приемке партиями.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Партией считают количество ящиков одного типа, исполнения и размеров, оформленное одним документом о качестве, содержащим: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наименование предприятия-изгот</w:t>
      </w:r>
      <w:r>
        <w:t>овителя, его юридический адрес и контактные телефоны;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товарный знак (при наличии);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наименование, назначение, тип и размеры ящиков;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номер партии;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количество ящиков;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дату изготовления (месяц, год);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обозначение настоящего стандарта или другой техн</w:t>
      </w:r>
      <w:r>
        <w:t>ической документации, по которой изготовлены ящики;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результаты испытаний, подтверждающие соответствие качества ящиков требованиям настоящего стандарта;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 информацию о возможности утилизации ящиков после их использования (петлю Мёбиуса).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В документ о каче</w:t>
      </w:r>
      <w:r>
        <w:t>стве допускается вносить другую информацию, касающуюся качества ящиков.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7.2 При контроле качества проводят приемо-сдаточные, периодические и типовые испытания ящиков в соответствии с таблицей 3.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r>
        <w:t>Таблица 3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154"/>
        <w:gridCol w:w="850"/>
        <w:gridCol w:w="850"/>
        <w:gridCol w:w="737"/>
        <w:gridCol w:w="1123"/>
        <w:gridCol w:w="1020"/>
      </w:tblGrid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Контролируемый показатель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Количество испытуемых образцов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Вид испытаний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Номер подраздела, пункта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приемо-сдаточные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периодические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типовые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технических требований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методов испытаний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Внешний вид, качество склейки и сшивки, комплектность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Каждая единица выборки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4.1.24;</w:t>
            </w:r>
          </w:p>
          <w:p w:rsidR="00000000" w:rsidRDefault="00565D44">
            <w:pPr>
              <w:pStyle w:val="ConsPlusNormal"/>
              <w:jc w:val="center"/>
            </w:pPr>
            <w:r>
              <w:t>4.1.28;</w:t>
            </w:r>
          </w:p>
          <w:p w:rsidR="00000000" w:rsidRDefault="00565D4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8.2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Размеры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 соответствии с планом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 xml:space="preserve">3.4; 3.5 4.1.11 </w:t>
            </w:r>
            <w:r>
              <w:lastRenderedPageBreak/>
              <w:t>4.1.12</w:t>
            </w:r>
          </w:p>
          <w:p w:rsidR="00000000" w:rsidRDefault="00565D44">
            <w:pPr>
              <w:pStyle w:val="ConsPlusNormal"/>
              <w:jc w:val="center"/>
            </w:pPr>
            <w:r>
              <w:t>4.1.15 - 4.1.20 4.1.29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lastRenderedPageBreak/>
              <w:t>8.3; 8.5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lastRenderedPageBreak/>
              <w:t>Число двойных перегибов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 соответствии с планом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ударам при свободном падении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 соответствии с планом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8.6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сжатию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 соответствии с планом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8.6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Прочность при штабелировании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 соответствии с планом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8.6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горизонтальному удару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 xml:space="preserve">В соответствии с </w:t>
            </w:r>
            <w:r>
              <w:t>планом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8.6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Качество печати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Каждая единица выборки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8.7; 8.8</w:t>
            </w:r>
          </w:p>
        </w:tc>
      </w:tr>
      <w:tr w:rsidR="00000000"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Примечание - Знак "+" означает, что показатель проверяют; знак "-" - не проверяют.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 xml:space="preserve">7.3 Приемо-сдаточные испытания проводят для каждой </w:t>
      </w:r>
      <w:r>
        <w:t>контролируемой партии ящиков.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Типовые испытания проводят при постановке продукции на производство, при внедрении и применении новых материалов, изменении технологии производства ящиков, при разногласиях в оценке качества ящиков.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7.4 Периодические испытания</w:t>
      </w:r>
      <w:r>
        <w:t xml:space="preserve"> ящиков проводят не реже одного раза в два года на образцах из партий ящиков, прошедших приемо-сдаточные испытания.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По согласованию с потребителем (заказчиком) допускается в технической документации на ящики для конкретных видов продукции, технологических </w:t>
      </w:r>
      <w:r>
        <w:t>регламентах, договорах на поставку, контрактах устанавливать другие сроки проведения периодических испытаний и перечень контролируемых показателей в зависимости от назначения ящиков.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7.5 П</w:t>
      </w:r>
      <w:r>
        <w:t>риемку партии ящиков проводят статистическим приемочным контролем качества.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План и процедуру выборочного контроля устанавливают в технической документации на ящики для продукции конкретных видов в соответствии с требованиями нормативных документов на стати</w:t>
      </w:r>
      <w:r>
        <w:t>стические методы и процедуры выборочного контроля, утвержденные в установленном порядке &lt;*&gt;.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&lt;*&gt; В Российской Федерации действует стандарт [3].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7.6 Если в технической документации на ящики для продукции конкретных видов не</w:t>
      </w:r>
      <w:r>
        <w:t xml:space="preserve"> установлен план статистического приемочного контроля, то контроль ящиков проводят по двухступенчатому нормальному плану выборочного контроля при общем уровне контроля II по альтернативному признаку на основе предела приемлемого качества AQL, рекомендуемые</w:t>
      </w:r>
      <w:r>
        <w:t xml:space="preserve"> значения которого приведены в таблице 4.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r>
        <w:t>Таблица 4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8"/>
        <w:gridCol w:w="4195"/>
      </w:tblGrid>
      <w:tr w:rsidR="00000000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lastRenderedPageBreak/>
              <w:t>Контролируемый показатель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Предел приемлемого качества AQL (процент несоответствующих единиц продукции), %</w:t>
            </w:r>
          </w:p>
        </w:tc>
      </w:tr>
      <w:tr w:rsidR="00000000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Внешний вид, размеры, качество склейки и сшивки, качество печати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65D4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Число двойных перегибов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65D4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сжатию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65D4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ударам при свободном падении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65D4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Сопротивление горизонтальному удару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65D4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Прочность при штабелировании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65D44">
            <w:pPr>
              <w:pStyle w:val="ConsPlusNormal"/>
              <w:jc w:val="center"/>
            </w:pPr>
            <w:r>
              <w:t>1,5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bookmarkStart w:id="18" w:name="Par501"/>
      <w:bookmarkEnd w:id="18"/>
      <w:r>
        <w:t>Таблица 5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417"/>
        <w:gridCol w:w="850"/>
        <w:gridCol w:w="907"/>
        <w:gridCol w:w="964"/>
        <w:gridCol w:w="964"/>
        <w:gridCol w:w="964"/>
        <w:gridCol w:w="964"/>
      </w:tblGrid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Объем партии,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Выборка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Объем выборки, шт.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Совокупный объем выборки, шт.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Предел приемлемого качества AQL (процент несоответствующих единиц продукции), нормальный контроль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1,5%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2,5%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Ac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Re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Ac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Re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До 1200 включ.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Вторая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Св. 1200 до 3200 включ.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Вторая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Св. 3200 до 10000 включ.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Вторая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Св. 10000 до 35000 включ.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Вторая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Св. 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Вторая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27</w:t>
            </w:r>
          </w:p>
        </w:tc>
      </w:tr>
      <w:tr w:rsidR="00000000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  <w:jc w:val="both"/>
            </w:pPr>
            <w:r>
              <w:t>Примечание - В настоящей таблице применены обозначения: Ac - приемочное число; Re - браковочное число.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7.7 Для проведения контроля качества из разных мест партии ящиков случайным образом отбирают выборки в объемах, указанных в таблице 5, и проводят контр</w:t>
      </w:r>
      <w:r>
        <w:t>оль по соответствующим показателям.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В зависимости от объема партии ящиков, объема выборки и значения предела приемлемого качества (AQL, %) определяют приемочные и браковочные числа по таблице 5.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lastRenderedPageBreak/>
        <w:t>7.8 Если число несоответствующих единиц продукции в первой вы</w:t>
      </w:r>
      <w:r>
        <w:t>борке менее приемочного числа первой ступени или равно ему, партию признают приемлемой. Если число несоответствующих единиц продукции, обнаруженных в первой выборке, превышает браковочное число первой ступени или равно ему, партию признают неприемлемой.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7.</w:t>
      </w:r>
      <w:r>
        <w:t>9 Если число несоответствующих единиц продукции первой выборки находится в интервале между приемочным и браковочным числами первой ступени, необходимо контролировать вторую выборку с объемом, заданным планом. Число несоответствующих единиц продукции, обнар</w:t>
      </w:r>
      <w:r>
        <w:t>уженных в первой и второй выборках, суммируют.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Если кумулятивное (суммарное) число несоответствующих единиц продукции менее приемочного числа второй ступени или равно ему, партию считают приемлемой. Если кумулятивное (суммарное) число несоответствующих еди</w:t>
      </w:r>
      <w:r>
        <w:t>ниц продукции превышает браковочное число второй ступени или равно ему, партию считают неприемлемой.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7.10 Если в первой выборке не обнаружены ящики, не отвечающие требованиям испытаний на прочность, то ящики, отобранные во вторую выборку, на прочность не и</w:t>
      </w:r>
      <w:r>
        <w:t>спытывают.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7.11 По согласованию с потребителем (заказчиком) допускается устанавливать другие планы контроля качества в технической документации на ящики для конкретных видов продукции, договорах на поставку, контрактах, технологических регламентах в зависи</w:t>
      </w:r>
      <w:r>
        <w:t>мости от назначения ящиков и значимости несоответствий контролируемых показателей качества ящиков.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Примечание - Если уровень качества выражают процентом несоответствующих единиц продукции, значение AQL (%) не должно превышать 10% по стандарту [3].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8. Методы контроля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8.1 Если в технической документации на ящики для продукции конкретных видов нет других указаний, то кондиционирование проводят при температуре 23 °C и относительной влажности 50% (режим 7, ГОСТ 21798) в течение 24 ч.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Каждому образцу при</w:t>
      </w:r>
      <w:r>
        <w:t>сваивают порядковый номер и наносят обозначение поверхностей в соответствии с ГОСТ 18106.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19" w:name="Par604"/>
      <w:bookmarkEnd w:id="19"/>
      <w:r>
        <w:t>8.2 Внешний вид, комплектность, соответствие образцу-эталону (при наличии), качество склеивания и сшивания ящиков контролируют визуально.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20" w:name="Par605"/>
      <w:bookmarkEnd w:id="20"/>
      <w:r>
        <w:t xml:space="preserve">8.3 </w:t>
      </w:r>
      <w:r>
        <w:t>Внутренние размеры ящиков, обечаек, вкладышей, в т.ч. смещение высечки клапанов ящиков, контролируют измерением расстояния между ближайшими параллельными осями рилевки (биговки) развертки за вычетом припусков (см. приложение Б).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21" w:name="Par606"/>
      <w:bookmarkEnd w:id="21"/>
      <w:r>
        <w:t>8.4 Для определ</w:t>
      </w:r>
      <w:r>
        <w:t>ения числа двойных перегибов по линии рилевки (сгиба) клапанов ящик с четырехклапанными дном и крышкой в сложенном виде кладут на плоскую поверхность и десять раз перегибают каждый клапан на 180°.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22" w:name="Par607"/>
      <w:bookmarkEnd w:id="22"/>
      <w:r>
        <w:t>8.5 Соответствие ящиков 3.4; 3.5; 4.1.11; 4.1.1</w:t>
      </w:r>
      <w:r>
        <w:t>2; 4.1.15 - 4.1.20, 4.1.29 контролируют линейкой по ГОСТ 427 или рулеткой по ГОСТ 7502 с погрешностью не более 1,0 мм.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23" w:name="Par608"/>
      <w:bookmarkEnd w:id="23"/>
      <w:r>
        <w:t>8.6 Контроль показателей механической прочности проводят по ГОСТ ISO 2234, ГОСТ ISO 2244, ГОСТ 18211 и ГОСТ 18425.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Прочность </w:t>
      </w:r>
      <w:r>
        <w:t>при штабелировании по ГОСТ ISO 2234 проверяют при отсутствии пресса для испытания ящиков на определение показателя сопротивления сжатию.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24" w:name="Par610"/>
      <w:bookmarkEnd w:id="24"/>
      <w:r>
        <w:t>8.7 Контроль художественного оформления и печати ящиков проводят сличением с образцом-эталоном, макетом или</w:t>
      </w:r>
      <w:r>
        <w:t xml:space="preserve"> дизайном, согласованным с заказчиком.</w:t>
      </w:r>
    </w:p>
    <w:p w:rsidR="00000000" w:rsidRDefault="00565D44">
      <w:pPr>
        <w:pStyle w:val="ConsPlusNormal"/>
        <w:spacing w:before="200"/>
        <w:ind w:firstLine="540"/>
        <w:jc w:val="both"/>
      </w:pPr>
      <w:bookmarkStart w:id="25" w:name="Par611"/>
      <w:bookmarkEnd w:id="25"/>
      <w:r>
        <w:lastRenderedPageBreak/>
        <w:t>8.8 Контроль соответствия цветов, используемых в художественном оформлении ящиков, проводят сличением с образцом-эталоном, согласованным с заказчиком.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9. Транспортирование и хранение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9.1 Ящики и вспомога</w:t>
      </w:r>
      <w:r>
        <w:t>тельные упаковочные средства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9.2 При транспортировании кип ящиков, сформированных в транспортные пак</w:t>
      </w:r>
      <w:r>
        <w:t>еты, размеры и масса пакетов должны удовлетворять требованиям ГОСТ 26663 и требованиям правил перевозки грузов, действующих на соответствующих видах транспорта.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9.3 Ящики и вспомогательные упаковочные средства хранят в упаковке производителя в крытых склад</w:t>
      </w:r>
      <w:r>
        <w:t>ских помещениях, защищенных от атмосферных осадков и почвенной влаги, с естественной вентиляцией в штабеле высотой не более 3 м на расстоянии не менее 1 м от отопительных приборов. Расстояние между штабелем кип и полом склада должно быть не менее 100 мм.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У</w:t>
      </w:r>
      <w:r>
        <w:t>словия хранения - при температуре от минус 14 °C до плюс 40 °C и относительной влажности воздуха 25% - 70%.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10. Указания по эксплуатации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10.1 Перед использованием ящики и вспомогательные упаковочные средства выдерживают в производственных помещениях в те</w:t>
      </w:r>
      <w:r>
        <w:t>чение 4 - 6 ч.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10.2 Ящики с упакованной продукцией должны быть укупорены.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Для укупоривания ящики оклеивают клеевой лентой, обтягивают металлической или полимерной лентой; клапаны ящика склеивают или сшивают скобами между собой (см. приложение Е).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Допускаются другие способы укупоривания ящиков с продукцией.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10.3 При сборке складных лотковых и оберточных ящиков не допускается перегибание клапанов наружу, если дизайном не предусмотрено использование обратной рилевки (биговки).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10.4 В зависимости от св</w:t>
      </w:r>
      <w:r>
        <w:t>ойств упаковываемой продукции складные лотковые и оберточные ящики с упакованной продукцией допускается обтягивать полиэтиленовой термоусадочной пленкой по ГОСТ 25951 или другими видами пленки по нормативным документам, обеспечивающей качество и сохранност</w:t>
      </w:r>
      <w:r>
        <w:t>ь упакованной продукции.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10.5 Складные оберточные ящики рекомендуется использовать для групповой упаковки пищевой штучной продукции в потребительской упаковке с учетом требований ГОСТ 25776.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10.6 Ящики с упакованной продукцией должны укладываться в штабель</w:t>
      </w:r>
      <w:r>
        <w:t xml:space="preserve"> без смещения ящиков относительно друг друга.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Для предотвращения смещения ящиков с упакованной продукцией по высоте штабеля и снижения потерь прочности ящиков при штабелировании рекомендуется между горизонтальными рядами ящиков применять прокладки из цельн</w:t>
      </w:r>
      <w:r>
        <w:t>ого листа или отдельных листов картона (тарного, плоского склеенного, гофрированного или других листовых материалов).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10.7 Укладка ящиков с упакованной продукцией в штабели в перевязку или другими способами допускается для ящиков с упакованной продукцией, </w:t>
      </w:r>
      <w:r>
        <w:t>воспринимающей нагрузку при штабелировании, а также с продукцией, не воспринимающей нагрузку при штабелировании, при условии обязательного применения прокладок между горизонтальными рядами ящиков.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10.8 Параметры и размеры пакетов при укладке ящиков с упако</w:t>
      </w:r>
      <w:r>
        <w:t xml:space="preserve">ванной продукцией на поддоны </w:t>
      </w:r>
      <w:r>
        <w:lastRenderedPageBreak/>
        <w:t>размерами 1200 x 800 и 1200 x 1000 мм должны соответствовать требованиям ГОСТ 24597.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10.9 Пакеты с продукцией, упакованной в ящики из гофрированного картона, должны храниться в соответствии с требованиями технической документац</w:t>
      </w:r>
      <w:r>
        <w:t>ии на упаковываемую продукцию.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1"/>
      </w:pPr>
      <w:r>
        <w:t>11. Гарантии изготовителя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11.1 Изготовитель гарантирует соответствие ящиков требованиям настоящего стандарта при соблюдении потребителем изложенных выше правил транспортирования, хранения и эксплуатации.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11.2 Гарантийный ср</w:t>
      </w:r>
      <w:r>
        <w:t>ок хранения ящиков устанавливают в технической документации на ящики для конкретных видов продукции.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11.3 По истечении срока хранения проводят контрольные испытания ящиков по основным показателям на соответствие требованиям настоящего стандарта. При получе</w:t>
      </w:r>
      <w:r>
        <w:t>нии положительных результатов испытаний ящики могут быть использованы по назначению.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  <w:outlineLvl w:val="0"/>
      </w:pPr>
      <w:r>
        <w:t>Приложение А</w:t>
      </w:r>
    </w:p>
    <w:p w:rsidR="00000000" w:rsidRDefault="00565D44">
      <w:pPr>
        <w:pStyle w:val="ConsPlusNormal"/>
        <w:jc w:val="right"/>
      </w:pPr>
      <w:r>
        <w:t>(рекомендуемое)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26" w:name="Par648"/>
      <w:bookmarkEnd w:id="26"/>
      <w:r>
        <w:t>ТИПЫ ЯЩИКОВ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r>
        <w:t>Таблица А.1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380"/>
        <w:gridCol w:w="5539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Тип и характеристика ящика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Развертка ящика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Складной с четырехклапанным дном и крышкой со стыкующимися наружными клапанами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07"/>
              </w:rPr>
              <w:drawing>
                <wp:inline distT="0" distB="0" distL="0" distR="0">
                  <wp:extent cx="2933700" cy="14922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bookmarkStart w:id="27" w:name="Par659"/>
            <w:bookmarkEnd w:id="27"/>
            <w:r>
              <w:t>Рисунок А.1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 частично перекрывающимися наружными клапанами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25"/>
              </w:rPr>
              <w:drawing>
                <wp:inline distT="0" distB="0" distL="0" distR="0">
                  <wp:extent cx="2816225" cy="1716405"/>
                  <wp:effectExtent l="1905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А.2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lastRenderedPageBreak/>
              <w:t>С полностью перекрывающимися наружными клапанами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26"/>
              </w:rPr>
              <w:drawing>
                <wp:inline distT="0" distB="0" distL="0" distR="0">
                  <wp:extent cx="2922905" cy="173926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А.3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 стыкующимися внутренними клапанами и частично перекрывающимися наружными клапанами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33"/>
              </w:rPr>
              <w:drawing>
                <wp:inline distT="0" distB="0" distL="0" distR="0">
                  <wp:extent cx="2917190" cy="18230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182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А.4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 стыкующимися наружными и внутренними клапанами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35"/>
              </w:rPr>
              <w:drawing>
                <wp:inline distT="0" distB="0" distL="0" distR="0">
                  <wp:extent cx="2922905" cy="18510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185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А.5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lastRenderedPageBreak/>
              <w:t>С укороченными наружными и внутренними клапанами на крышке и со стыкующимися наружными клапанами на дне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07"/>
              </w:rPr>
              <w:drawing>
                <wp:inline distT="0" distB="0" distL="0" distR="0">
                  <wp:extent cx="2827655" cy="14922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А.6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 стыкующимися наружными клапанами дна и крышки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74"/>
              </w:rPr>
              <w:drawing>
                <wp:inline distT="0" distB="0" distL="0" distR="0">
                  <wp:extent cx="2911475" cy="2339340"/>
                  <wp:effectExtent l="1905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1 - корпус 1; 2 - корпус 2</w:t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А.7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 стыкующимися наружными клапанами, без дна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07"/>
              </w:rPr>
              <w:drawing>
                <wp:inline distT="0" distB="0" distL="0" distR="0">
                  <wp:extent cx="2911475" cy="1492250"/>
                  <wp:effectExtent l="1905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А.8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lastRenderedPageBreak/>
              <w:t>1 - телескопический со съемной крышкой, со сплошным дном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33"/>
              </w:rPr>
              <w:drawing>
                <wp:inline distT="0" distB="0" distL="0" distR="0">
                  <wp:extent cx="2928620" cy="1817370"/>
                  <wp:effectExtent l="1905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А.9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Из двух склеенных (сшитых) корпусов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74"/>
              </w:rPr>
              <w:drawing>
                <wp:inline distT="0" distB="0" distL="0" distR="0">
                  <wp:extent cx="2889250" cy="2339340"/>
                  <wp:effectExtent l="1905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А.10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Со съемными крышкой и дном, с цельным корпусом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91"/>
              </w:rPr>
              <w:drawing>
                <wp:inline distT="0" distB="0" distL="0" distR="0">
                  <wp:extent cx="2614295" cy="255778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255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А.11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lastRenderedPageBreak/>
              <w:t>2 - оберточный складной из одной заготовки со стыкующимися наружными и внутренними клапанами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69"/>
              </w:rPr>
              <w:drawing>
                <wp:inline distT="0" distB="0" distL="0" distR="0">
                  <wp:extent cx="2726055" cy="227774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27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А.12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Из двух заготовок со стыкующимися наружными и внутренними клапанами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99"/>
              </w:rPr>
              <w:drawing>
                <wp:inline distT="0" distB="0" distL="0" distR="0">
                  <wp:extent cx="2395220" cy="2653665"/>
                  <wp:effectExtent l="1905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265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А.13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Из трех прямоугольных заготовок со стыкующимися наружными клапанами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59"/>
              </w:rPr>
              <w:drawing>
                <wp:inline distT="0" distB="0" distL="0" distR="0">
                  <wp:extent cx="2204720" cy="21539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215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lastRenderedPageBreak/>
              <w:t>Рисунок А.14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lastRenderedPageBreak/>
              <w:t>Из одной заготовки с перекрывающимися наружными клапанами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35"/>
              </w:rPr>
              <w:drawing>
                <wp:inline distT="0" distB="0" distL="0" distR="0">
                  <wp:extent cx="2557780" cy="184594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184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А.15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3 - лотковый складной с боковыми усиленными стенками с клапанами в застежку с дном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44"/>
              </w:rPr>
              <w:drawing>
                <wp:inline distT="0" distB="0" distL="0" distR="0">
                  <wp:extent cx="2928620" cy="1957705"/>
                  <wp:effectExtent l="1905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195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А.16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С торцевыми усиленными стенками с клапанами в застежку с дном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72"/>
              </w:rPr>
              <w:drawing>
                <wp:inline distT="0" distB="0" distL="0" distR="0">
                  <wp:extent cx="2827655" cy="231711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231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А.17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lastRenderedPageBreak/>
              <w:t>С клапанами без застежки с дном с отверстиями для ручек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19"/>
              </w:rPr>
              <w:drawing>
                <wp:inline distT="0" distB="0" distL="0" distR="0">
                  <wp:extent cx="2501900" cy="16383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Рисунок А.18</w:t>
            </w:r>
          </w:p>
        </w:tc>
      </w:tr>
      <w:tr w:rsidR="00000000"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</w:pPr>
            <w:r>
              <w:t>4 - пенал из двух сшитых (склеенных) разверток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7E1">
            <w:pPr>
              <w:pStyle w:val="ConsPlusNormal"/>
              <w:jc w:val="center"/>
            </w:pPr>
            <w:r>
              <w:rPr>
                <w:noProof/>
                <w:position w:val="-167"/>
              </w:rPr>
              <w:drawing>
                <wp:inline distT="0" distB="0" distL="0" distR="0">
                  <wp:extent cx="1739265" cy="225488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225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5D44">
            <w:pPr>
              <w:pStyle w:val="ConsPlusNormal"/>
            </w:pPr>
          </w:p>
          <w:p w:rsidR="00000000" w:rsidRDefault="00565D44">
            <w:pPr>
              <w:pStyle w:val="ConsPlusNormal"/>
              <w:jc w:val="center"/>
            </w:pPr>
            <w:r>
              <w:t>Рисун</w:t>
            </w:r>
            <w:r>
              <w:t>ок А.19</w:t>
            </w:r>
          </w:p>
        </w:tc>
      </w:tr>
      <w:tr w:rsidR="00000000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000000" w:rsidRDefault="00565D44">
            <w:pPr>
              <w:pStyle w:val="ConsPlusNormal"/>
              <w:ind w:firstLine="283"/>
              <w:jc w:val="both"/>
            </w:pPr>
            <w:r>
              <w:t>1 Условные обозначения, применяемые на рисунках А.1 - А.19: L - длина развертки, мм; B - ширина развертки, мм; l - длина ящика, мм; b - ширина ящика, мм; b</w:t>
            </w:r>
            <w:r>
              <w:rPr>
                <w:vertAlign w:val="subscript"/>
              </w:rPr>
              <w:t>1</w:t>
            </w:r>
            <w:r>
              <w:t xml:space="preserve"> - 0,5b (исполнения А, Д, Е, Ж, И); b</w:t>
            </w:r>
            <w:r>
              <w:rPr>
                <w:vertAlign w:val="subscript"/>
              </w:rPr>
              <w:t>2</w:t>
            </w:r>
            <w:r>
              <w:t xml:space="preserve"> - 0,5b + f (исполнения Б, Г); b</w:t>
            </w:r>
            <w:r>
              <w:rPr>
                <w:vertAlign w:val="subscript"/>
              </w:rPr>
              <w:t>3</w:t>
            </w:r>
            <w:r>
              <w:t xml:space="preserve"> - b (исполнение В); b</w:t>
            </w:r>
            <w:r>
              <w:rPr>
                <w:vertAlign w:val="subscript"/>
              </w:rPr>
              <w:t>4</w:t>
            </w:r>
            <w:r>
              <w:t xml:space="preserve"> - (0,1 - 0,5)b (исполнение Е); b</w:t>
            </w:r>
            <w:r>
              <w:rPr>
                <w:vertAlign w:val="subscript"/>
              </w:rPr>
              <w:t>5</w:t>
            </w:r>
            <w:r>
              <w:t xml:space="preserve"> - 0,5l (исполнения Г, Д); h - высота ящика, мм; f - величина перекрытия клапанов, определяющих конструкцию; a - ширина просечки 4 - 10 мм; c - ширина соединительного клапана 20 - 50 мм.</w:t>
            </w:r>
          </w:p>
          <w:p w:rsidR="00000000" w:rsidRDefault="00565D44">
            <w:pPr>
              <w:pStyle w:val="ConsPlusNormal"/>
              <w:ind w:firstLine="283"/>
              <w:jc w:val="both"/>
            </w:pPr>
            <w:r>
              <w:t>2 В ящиках и</w:t>
            </w:r>
            <w:r>
              <w:t>сполнения Ж размеры l, b корпуса 1 увеличивают с учетом толщины картона корпуса 2.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  <w:outlineLvl w:val="0"/>
      </w:pPr>
      <w:r>
        <w:t>Приложение Б</w:t>
      </w:r>
    </w:p>
    <w:p w:rsidR="00000000" w:rsidRDefault="00565D44">
      <w:pPr>
        <w:pStyle w:val="ConsPlusNormal"/>
        <w:jc w:val="right"/>
      </w:pPr>
      <w:r>
        <w:t>(справочное)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28" w:name="Par763"/>
      <w:bookmarkEnd w:id="28"/>
      <w:r>
        <w:t>РАЗВЕРТКА ЯЩИКА ИСПОЛНЕНИЯ А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294"/>
        </w:rPr>
        <w:lastRenderedPageBreak/>
        <w:drawing>
          <wp:inline distT="0" distB="0" distL="0" distR="0">
            <wp:extent cx="3354705" cy="386524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L - длина развертки, мм; B - ширина развертки, мм;</w:t>
      </w:r>
    </w:p>
    <w:p w:rsidR="00000000" w:rsidRDefault="00565D44">
      <w:pPr>
        <w:pStyle w:val="ConsPlusNormal"/>
        <w:jc w:val="center"/>
      </w:pPr>
      <w:r>
        <w:t>l, b, h - внутренние размеры ящика</w:t>
      </w:r>
    </w:p>
    <w:p w:rsidR="00000000" w:rsidRDefault="00565D44">
      <w:pPr>
        <w:pStyle w:val="ConsPlusNormal"/>
        <w:jc w:val="center"/>
      </w:pPr>
      <w:r>
        <w:t>(длина, ширина, высота), мм; S - толщина картона, мм;</w:t>
      </w:r>
    </w:p>
    <w:p w:rsidR="00000000" w:rsidRDefault="00565D44">
      <w:pPr>
        <w:pStyle w:val="ConsPlusNormal"/>
        <w:jc w:val="center"/>
      </w:pPr>
      <w:r>
        <w:t xml:space="preserve">a - 4 - 10 мм; c - 20 - 50 мм; </w:t>
      </w:r>
      <w:r w:rsidR="00A437E1">
        <w:rPr>
          <w:noProof/>
        </w:rPr>
        <w:drawing>
          <wp:inline distT="0" distB="0" distL="0" distR="0">
            <wp:extent cx="151765" cy="12890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не более 5</w:t>
      </w:r>
      <w:r>
        <w:t>5°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Примечание - Допускается для ящиков, изготовляемых из пятислойного и семислойного гофрированного картона, к высоте ящика добавлять две толщины картона (h + 2S).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Б.1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  <w:outlineLvl w:val="0"/>
      </w:pPr>
      <w:r>
        <w:t>Приложение В</w:t>
      </w:r>
    </w:p>
    <w:p w:rsidR="00000000" w:rsidRDefault="00565D44">
      <w:pPr>
        <w:pStyle w:val="ConsPlusNormal"/>
        <w:jc w:val="right"/>
      </w:pPr>
      <w:r>
        <w:t>(рекомендуемое)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ВСПОМОГАТЕЛЬНЫЕ УПАКОВОЧНЫЕ СРЕДСТВА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Обеча</w:t>
      </w:r>
      <w:r>
        <w:t>йка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112"/>
        </w:rPr>
        <w:lastRenderedPageBreak/>
        <w:drawing>
          <wp:inline distT="0" distB="0" distL="0" distR="0">
            <wp:extent cx="1245235" cy="155384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29" w:name="Par789"/>
      <w:bookmarkEnd w:id="29"/>
      <w:r>
        <w:t>Рисунок В.1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Вкладыш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112"/>
        </w:rPr>
        <w:drawing>
          <wp:inline distT="0" distB="0" distL="0" distR="0">
            <wp:extent cx="1228725" cy="155384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30" w:name="Par797"/>
      <w:bookmarkEnd w:id="30"/>
      <w:r>
        <w:t>Рисунок В.2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Перегородки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59"/>
        </w:rPr>
        <w:drawing>
          <wp:inline distT="0" distB="0" distL="0" distR="0">
            <wp:extent cx="1043305" cy="886460"/>
            <wp:effectExtent l="1905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В.3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2070100" cy="549910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В.4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91"/>
        </w:rPr>
        <w:lastRenderedPageBreak/>
        <w:drawing>
          <wp:inline distT="0" distB="0" distL="0" distR="0">
            <wp:extent cx="1828800" cy="129032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В.5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Решетки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105"/>
        </w:rPr>
        <w:drawing>
          <wp:inline distT="0" distB="0" distL="0" distR="0">
            <wp:extent cx="1946910" cy="14700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В.6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106"/>
        </w:rPr>
        <w:drawing>
          <wp:inline distT="0" distB="0" distL="0" distR="0">
            <wp:extent cx="2042160" cy="148082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31" w:name="Par831"/>
      <w:bookmarkEnd w:id="31"/>
      <w:r>
        <w:t>Рисунок В.7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Прокладка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46"/>
        </w:rPr>
        <w:drawing>
          <wp:inline distT="0" distB="0" distL="0" distR="0">
            <wp:extent cx="1369060" cy="718185"/>
            <wp:effectExtent l="19050" t="0" r="254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32" w:name="Par839"/>
      <w:bookmarkEnd w:id="32"/>
      <w:r>
        <w:t>Рисунок В.8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Амортизатор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84"/>
        </w:rPr>
        <w:drawing>
          <wp:inline distT="0" distB="0" distL="0" distR="0">
            <wp:extent cx="1323975" cy="120586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В.9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  <w:outlineLvl w:val="0"/>
      </w:pPr>
      <w:r>
        <w:t>Приложение Г</w:t>
      </w:r>
    </w:p>
    <w:p w:rsidR="00000000" w:rsidRDefault="00565D44">
      <w:pPr>
        <w:pStyle w:val="ConsPlusNormal"/>
        <w:jc w:val="right"/>
      </w:pPr>
      <w:r>
        <w:t>(справочное)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33" w:name="Par856"/>
      <w:bookmarkEnd w:id="33"/>
      <w:r>
        <w:t>ПРИМЕРЫ ИСПОЛНЕНИЙ СОЕДИНИТЕЛЬНОГО КЛАПАНА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314"/>
        </w:rPr>
        <w:drawing>
          <wp:inline distT="0" distB="0" distL="0" distR="0">
            <wp:extent cx="3483610" cy="4123055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Г.1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  <w:outlineLvl w:val="0"/>
      </w:pPr>
      <w:r>
        <w:t>Приложение Д</w:t>
      </w:r>
    </w:p>
    <w:p w:rsidR="00000000" w:rsidRDefault="00565D44">
      <w:pPr>
        <w:pStyle w:val="ConsPlusNormal"/>
        <w:jc w:val="right"/>
      </w:pPr>
      <w:r>
        <w:t>(рекомендуемое)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СОПРОТИВЛЕНИЕ ТОРЦЕВОМУ СЖАТИЮ</w:t>
      </w:r>
    </w:p>
    <w:p w:rsidR="00000000" w:rsidRDefault="00565D44">
      <w:pPr>
        <w:pStyle w:val="ConsPlusNormal"/>
        <w:jc w:val="center"/>
      </w:pPr>
      <w:r>
        <w:t>ГОФРИРОВАННОГО КАРТОНА ВДОЛЬ ГОФРОВ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bookmarkStart w:id="34" w:name="Par872"/>
      <w:bookmarkEnd w:id="34"/>
      <w:r>
        <w:t>Таблица Д.1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619"/>
        <w:gridCol w:w="619"/>
        <w:gridCol w:w="619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Усилие сопротивления ящиков сжатию P, Н</w:t>
            </w:r>
          </w:p>
        </w:tc>
        <w:tc>
          <w:tcPr>
            <w:tcW w:w="8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Сопротивление торцевому сжатию гофрированного картона</w:t>
            </w:r>
          </w:p>
          <w:p w:rsidR="00000000" w:rsidRDefault="00565D44">
            <w:pPr>
              <w:pStyle w:val="ConsPlusNormal"/>
              <w:jc w:val="center"/>
            </w:pPr>
            <w:r>
              <w:t>вдоль гофров, кН/м, при значении K</w:t>
            </w:r>
            <w:r>
              <w:rPr>
                <w:vertAlign w:val="subscript"/>
              </w:rPr>
              <w:t>1</w:t>
            </w:r>
            <w:r>
              <w:t xml:space="preserve"> ящика, не менее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До 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1001 - 1250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1251 - 1500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1500 - 1750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5,7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1751 - 2000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2001 - 2250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7,4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5,5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2251 - 2500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7,0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6,1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5,5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2501 - 2750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9,0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7,7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6,0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5,4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2751 - 3000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8,4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7,4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5,4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3001 - 3250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9,1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8,0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7,1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5,4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3251 - 3500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11,5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5,7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3501 - 3750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10,5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6,7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6,1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5,7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3,7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lastRenderedPageBreak/>
              <w:t>3751 - 4000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13,1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11,2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8,7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7,7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6,1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3,9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</w:pPr>
            <w:r>
              <w:t>4001 - 1250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13,5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11,9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10,4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9,3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8,3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7,6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7,0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6,4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6,0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4,2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</w:pPr>
            <w:r>
              <w:t>4251 - 1500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14,7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12,6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11,0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9,8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8,0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7,4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5,5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4,4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</w:pPr>
            <w:r>
              <w:t>4501 - 4750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15,6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13,3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11,6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10,4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9,3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8,5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6,7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5,5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</w:pPr>
            <w:r>
              <w:t>4751 - 5000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16,4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14,0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12,3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10,9</w:t>
            </w:r>
          </w:p>
          <w:p w:rsidR="00000000" w:rsidRDefault="00565D44">
            <w:pPr>
              <w:pStyle w:val="ConsPlusNormal"/>
              <w:jc w:val="center"/>
            </w:pPr>
            <w:r>
              <w:t>-----</w:t>
            </w:r>
          </w:p>
          <w:p w:rsidR="00000000" w:rsidRDefault="00565D4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9,8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8,2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7,0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6,6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6,1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5,8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5,5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5,2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4,9</w:t>
            </w:r>
          </w:p>
          <w:p w:rsidR="00000000" w:rsidRDefault="00565D44">
            <w:pPr>
              <w:pStyle w:val="ConsPlusNormal"/>
              <w:jc w:val="center"/>
            </w:pPr>
            <w:r>
              <w:t>----</w:t>
            </w:r>
          </w:p>
          <w:p w:rsidR="00000000" w:rsidRDefault="00565D44">
            <w:pPr>
              <w:pStyle w:val="ConsPlusNormal"/>
              <w:jc w:val="center"/>
            </w:pPr>
            <w:r>
              <w:t>3,2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</w:pPr>
      <w:r>
        <w:t>Таблица Д.2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35" w:name="Par1405"/>
      <w:bookmarkEnd w:id="35"/>
      <w:r>
        <w:t>Сопротивление продавливанию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147"/>
        <w:gridCol w:w="1152"/>
        <w:gridCol w:w="1157"/>
        <w:gridCol w:w="1152"/>
        <w:gridCol w:w="1152"/>
        <w:gridCol w:w="1152"/>
        <w:gridCol w:w="1144"/>
        <w:gridCol w:w="1142"/>
        <w:gridCol w:w="1119"/>
        <w:gridCol w:w="1134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lastRenderedPageBreak/>
              <w:t>Предельная масса груза в ящике, кг</w:t>
            </w:r>
          </w:p>
        </w:tc>
        <w:tc>
          <w:tcPr>
            <w:tcW w:w="11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Сопротивление продавливанию, МПа (кгс/см</w:t>
            </w:r>
            <w:r>
              <w:rPr>
                <w:vertAlign w:val="superscript"/>
              </w:rPr>
              <w:t>2</w:t>
            </w:r>
            <w:r>
              <w:t>), в числителе,</w:t>
            </w:r>
          </w:p>
          <w:p w:rsidR="00000000" w:rsidRDefault="00565D44">
            <w:pPr>
              <w:pStyle w:val="ConsPlusNormal"/>
              <w:jc w:val="center"/>
            </w:pPr>
            <w:r>
              <w:t>удельное сопротивление разрыву по линии рилевки в поперечном</w:t>
            </w:r>
          </w:p>
          <w:p w:rsidR="00000000" w:rsidRDefault="00565D44">
            <w:pPr>
              <w:pStyle w:val="ConsPlusNormal"/>
              <w:jc w:val="center"/>
            </w:pPr>
            <w:r>
              <w:t>направлении, кН/м, в знаменателе, при минимальном одном</w:t>
            </w:r>
          </w:p>
          <w:p w:rsidR="00000000" w:rsidRDefault="00565D44">
            <w:pPr>
              <w:pStyle w:val="ConsPlusNormal"/>
              <w:jc w:val="center"/>
            </w:pPr>
            <w:r>
              <w:t>из размеров (длине, ширине и высоте), мм, не менее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До 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125 - 150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151 - 175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176 - 200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201 - 225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226 - 250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251 - 275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276 - 300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301 - 325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326 - 350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От 7,5 до 10 включ.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От 11 до 15 включ.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1,3(13,0)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 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От 16 до 20 включ.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1,5 (15,0)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1,3 (13,0)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0,7 (7,0)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От 21 до 25 включ.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1,7 (17,0)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1,5 (15,0)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1,3 (13,0)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От 26 до 30 включ.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2,0 (20,0)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1,7 (17,0)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1,5 (15,0)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1,3 (13,0)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</w:pPr>
            <w:r>
              <w:t>От 31 до 35 включ.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2,0 (20,0)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1,7 (17,0)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1,5 (15,0)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1,3 (13,0)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5D44">
            <w:pPr>
              <w:pStyle w:val="ConsPlusNormal"/>
            </w:pPr>
            <w:r>
              <w:t>От 36 до 40 включ.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2,0 (20,0)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1,7 (17,0)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1,5 (15,0)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1,3 (13,0)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1,3(13,0)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1,1 (11,0)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5D44">
            <w:pPr>
              <w:pStyle w:val="ConsPlusNormal"/>
              <w:jc w:val="center"/>
            </w:pPr>
            <w:r>
              <w:t>0,9 (9,0)</w:t>
            </w:r>
          </w:p>
          <w:p w:rsidR="00000000" w:rsidRDefault="00565D44">
            <w:pPr>
              <w:pStyle w:val="ConsPlusNormal"/>
              <w:jc w:val="center"/>
            </w:pPr>
            <w:r>
              <w:t>-----------</w:t>
            </w:r>
          </w:p>
          <w:p w:rsidR="00000000" w:rsidRDefault="00565D44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565D44">
      <w:pPr>
        <w:pStyle w:val="ConsPlusNormal"/>
        <w:jc w:val="both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Примечания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1 Для ящиков, предназначенных для упаковывания продукции массой менее 7,5 кг и свыше 40 кг, а также для ящиков телескопических, оберточных, футлярных и лотковых типов марку картона определяют экспериментально.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2 Ящики, у которых минимальный размер превышае</w:t>
      </w:r>
      <w:r>
        <w:t>т 350 мм, определяют по 350 мм.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Коэффициент K</w:t>
      </w:r>
      <w:r>
        <w:rPr>
          <w:vertAlign w:val="subscript"/>
        </w:rPr>
        <w:t>1</w:t>
      </w:r>
      <w:r>
        <w:t xml:space="preserve"> вычисляют по формуле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167130" cy="43751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D44">
        <w:t xml:space="preserve"> (Д.1)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ind w:firstLine="540"/>
        <w:jc w:val="both"/>
      </w:pPr>
      <w:r>
        <w:t>где F - площадь основания ящика, равная (l x b), см</w:t>
      </w:r>
      <w:r>
        <w:rPr>
          <w:vertAlign w:val="superscript"/>
        </w:rPr>
        <w:t>2</w:t>
      </w:r>
      <w:r>
        <w:t>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L - периметр ящика, равный 2(l + b), см;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l, b, h - внутренние размеры ящика - длина, шири</w:t>
      </w:r>
      <w:r>
        <w:t>на, высота, см.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 K</w:t>
      </w:r>
      <w:r>
        <w:rPr>
          <w:vertAlign w:val="subscript"/>
        </w:rPr>
        <w:t>1</w:t>
      </w:r>
      <w:r>
        <w:t xml:space="preserve"> менее 6,0 сопротивление торцевому сжатию определяют по 6,0; более 20,0 - по 20,0.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С промежуточными значениями K</w:t>
      </w:r>
      <w:r>
        <w:rPr>
          <w:vertAlign w:val="subscript"/>
        </w:rPr>
        <w:t>1</w:t>
      </w:r>
      <w:r>
        <w:t xml:space="preserve"> до 0,5 - по меньшему значению, равному 0,5, и более - по большему.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 xml:space="preserve">При усилии сопротивления ящиков сжатию свыше 5000 Н, </w:t>
      </w:r>
      <w:r>
        <w:t>а также ящиков телескопических, оберточных, футлярных и лотковых типов значение торцевого сжатия определяют экспериментально.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В числителе указано сопротивление торцевому сжатию для изготовления ящиков, применяемых без комплектующих изделий.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В знаменателе указано сопротивление торцевому сжатию гофрированного картона для изготовления ящиков с применением комплектующих изделий (см. рисунки В.2 - В.7, приложение В).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 промежуточных значениях показателя сопротивления торцевому сжатию до 0,5 уста</w:t>
      </w:r>
      <w:r>
        <w:t>навливают марку по меньшему значению, более 0,5 - по большему.</w:t>
      </w:r>
    </w:p>
    <w:p w:rsidR="00000000" w:rsidRDefault="00565D44">
      <w:pPr>
        <w:pStyle w:val="ConsPlusNormal"/>
        <w:spacing w:before="200"/>
        <w:ind w:firstLine="540"/>
        <w:jc w:val="both"/>
      </w:pPr>
      <w:r>
        <w:t>При одинаковом значении показателя сопротивления торцевому сжатию трехслойного и пятислойного картона пятислойный картон используют для упаковывания продукции, маркированной манипуляционным зна</w:t>
      </w:r>
      <w:r>
        <w:t>ком по ГОСТ 14192, имеющим значение "Хрупкое. Осторожно".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right"/>
        <w:outlineLvl w:val="0"/>
      </w:pPr>
      <w:r>
        <w:t>Приложение Е</w:t>
      </w:r>
    </w:p>
    <w:p w:rsidR="00000000" w:rsidRDefault="00565D44">
      <w:pPr>
        <w:pStyle w:val="ConsPlusNormal"/>
        <w:jc w:val="right"/>
      </w:pPr>
      <w:r>
        <w:t>(рекомендуемое)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bookmarkStart w:id="36" w:name="Par1665"/>
      <w:bookmarkEnd w:id="36"/>
      <w:r>
        <w:t>ПРИМЕРЫ УКУПОРИВАНИЯ ЯЩИКОВ С ПРОДУКЦИЕЙ</w:t>
      </w:r>
    </w:p>
    <w:p w:rsidR="00000000" w:rsidRDefault="00565D44">
      <w:pPr>
        <w:pStyle w:val="ConsPlusNormal"/>
        <w:jc w:val="center"/>
      </w:pPr>
    </w:p>
    <w:p w:rsidR="00000000" w:rsidRDefault="00565D44">
      <w:pPr>
        <w:pStyle w:val="ConsPlusNormal"/>
        <w:jc w:val="center"/>
      </w:pPr>
      <w:r>
        <w:t>Оклеивание клеевой лентой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72"/>
        </w:rPr>
        <w:lastRenderedPageBreak/>
        <w:drawing>
          <wp:inline distT="0" distB="0" distL="0" distR="0">
            <wp:extent cx="1638300" cy="104902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Е.1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74"/>
        </w:rPr>
        <w:drawing>
          <wp:inline distT="0" distB="0" distL="0" distR="0">
            <wp:extent cx="1643380" cy="106616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Е.2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Обтягивание лентой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98"/>
        </w:rPr>
        <w:drawing>
          <wp:inline distT="0" distB="0" distL="0" distR="0">
            <wp:extent cx="2317115" cy="1379855"/>
            <wp:effectExtent l="19050" t="0" r="698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Е.3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Склеивание и сшивание клапанов между собой</w:t>
      </w: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755775" cy="863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Е.4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A437E1">
      <w:pPr>
        <w:pStyle w:val="ConsPlusNormal"/>
        <w:jc w:val="center"/>
      </w:pPr>
      <w:r>
        <w:rPr>
          <w:noProof/>
          <w:position w:val="-57"/>
        </w:rPr>
        <w:lastRenderedPageBreak/>
        <w:drawing>
          <wp:inline distT="0" distB="0" distL="0" distR="0">
            <wp:extent cx="2109470" cy="852805"/>
            <wp:effectExtent l="1905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</w:pPr>
      <w:r>
        <w:t>Рисунок Е.5</w:t>
      </w: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center"/>
        <w:outlineLvl w:val="0"/>
      </w:pPr>
      <w:r>
        <w:t>БИБЛИОГРАФИЯ</w:t>
      </w:r>
    </w:p>
    <w:p w:rsidR="00000000" w:rsidRDefault="00565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6293"/>
      </w:tblGrid>
      <w:tr w:rsidR="00000000">
        <w:tc>
          <w:tcPr>
            <w:tcW w:w="510" w:type="dxa"/>
          </w:tcPr>
          <w:p w:rsidR="00000000" w:rsidRDefault="00565D44">
            <w:pPr>
              <w:pStyle w:val="ConsPlusNormal"/>
            </w:pPr>
            <w:bookmarkStart w:id="37" w:name="Par1707"/>
            <w:bookmarkEnd w:id="37"/>
            <w:r>
              <w:t>[1]</w:t>
            </w:r>
          </w:p>
        </w:tc>
        <w:tc>
          <w:tcPr>
            <w:tcW w:w="2835" w:type="dxa"/>
          </w:tcPr>
          <w:p w:rsidR="00000000" w:rsidRDefault="00565D44">
            <w:pPr>
              <w:pStyle w:val="ConsPlusNormal"/>
            </w:pPr>
            <w:r>
              <w:t>ГОСТ Р 52901-2007</w:t>
            </w:r>
          </w:p>
        </w:tc>
        <w:tc>
          <w:tcPr>
            <w:tcW w:w="6293" w:type="dxa"/>
          </w:tcPr>
          <w:p w:rsidR="00000000" w:rsidRDefault="00565D44">
            <w:pPr>
              <w:pStyle w:val="ConsPlusNormal"/>
            </w:pPr>
            <w:r>
              <w:t>Картон гофрированный для упаковывания продукции. Технические условия</w:t>
            </w:r>
          </w:p>
        </w:tc>
      </w:tr>
      <w:tr w:rsidR="00000000">
        <w:tc>
          <w:tcPr>
            <w:tcW w:w="510" w:type="dxa"/>
          </w:tcPr>
          <w:p w:rsidR="00000000" w:rsidRDefault="00565D44">
            <w:pPr>
              <w:pStyle w:val="ConsPlusNormal"/>
            </w:pPr>
            <w:bookmarkStart w:id="38" w:name="Par1710"/>
            <w:bookmarkEnd w:id="38"/>
            <w:r>
              <w:t>[2]</w:t>
            </w:r>
          </w:p>
        </w:tc>
        <w:tc>
          <w:tcPr>
            <w:tcW w:w="2835" w:type="dxa"/>
          </w:tcPr>
          <w:p w:rsidR="00000000" w:rsidRDefault="00565D44">
            <w:pPr>
              <w:pStyle w:val="ConsPlusNormal"/>
            </w:pPr>
            <w:r>
              <w:t>Технический регламент Таможенного союза ТР ТС 005/2011</w:t>
            </w:r>
          </w:p>
        </w:tc>
        <w:tc>
          <w:tcPr>
            <w:tcW w:w="6293" w:type="dxa"/>
          </w:tcPr>
          <w:p w:rsidR="00000000" w:rsidRDefault="00565D44">
            <w:pPr>
              <w:pStyle w:val="ConsPlusNormal"/>
            </w:pPr>
            <w:r>
              <w:t>О безопасности упаковки (принят решением Комиссии Таможенного союза от 16 августа 2011 г. N 769)</w:t>
            </w:r>
          </w:p>
        </w:tc>
      </w:tr>
      <w:tr w:rsidR="00000000">
        <w:tc>
          <w:tcPr>
            <w:tcW w:w="510" w:type="dxa"/>
          </w:tcPr>
          <w:p w:rsidR="00000000" w:rsidRDefault="00565D44">
            <w:pPr>
              <w:pStyle w:val="ConsPlusNormal"/>
            </w:pPr>
            <w:bookmarkStart w:id="39" w:name="Par1713"/>
            <w:bookmarkEnd w:id="39"/>
            <w:r>
              <w:t>[</w:t>
            </w:r>
            <w:r>
              <w:t>3]</w:t>
            </w:r>
          </w:p>
        </w:tc>
        <w:tc>
          <w:tcPr>
            <w:tcW w:w="2835" w:type="dxa"/>
          </w:tcPr>
          <w:p w:rsidR="00000000" w:rsidRDefault="00565D44">
            <w:pPr>
              <w:pStyle w:val="ConsPlusNormal"/>
            </w:pPr>
            <w:r>
              <w:t>[3] ГОСТ Р ИСО 2859-1-2007</w:t>
            </w:r>
          </w:p>
        </w:tc>
        <w:tc>
          <w:tcPr>
            <w:tcW w:w="6293" w:type="dxa"/>
          </w:tcPr>
          <w:p w:rsidR="00000000" w:rsidRDefault="00565D44">
            <w:pPr>
              <w:pStyle w:val="ConsPlusNormal"/>
            </w:pPr>
            <w:r>
              <w:t>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      </w:r>
          </w:p>
        </w:tc>
      </w:tr>
    </w:tbl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jc w:val="both"/>
      </w:pPr>
    </w:p>
    <w:p w:rsidR="00000000" w:rsidRDefault="00565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D44" w:rsidRDefault="00565D44">
      <w:pPr>
        <w:pStyle w:val="ConsPlusNormal"/>
        <w:rPr>
          <w:sz w:val="16"/>
          <w:szCs w:val="16"/>
        </w:rPr>
      </w:pPr>
    </w:p>
    <w:sectPr w:rsidR="00565D44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44" w:rsidRDefault="00565D44">
      <w:pPr>
        <w:spacing w:after="0" w:line="240" w:lineRule="auto"/>
      </w:pPr>
      <w:r>
        <w:separator/>
      </w:r>
    </w:p>
  </w:endnote>
  <w:endnote w:type="continuationSeparator" w:id="0">
    <w:p w:rsidR="00565D44" w:rsidRDefault="0056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437E1">
            <w:fldChar w:fldCharType="separate"/>
          </w:r>
          <w:r w:rsidR="00A437E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437E1">
            <w:fldChar w:fldCharType="separate"/>
          </w:r>
          <w:r w:rsidR="00A437E1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565D4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437E1">
            <w:fldChar w:fldCharType="separate"/>
          </w:r>
          <w:r w:rsidR="00A437E1"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437E1">
            <w:fldChar w:fldCharType="separate"/>
          </w:r>
          <w:r w:rsidR="00A437E1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565D44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437E1">
            <w:fldChar w:fldCharType="separate"/>
          </w:r>
          <w:r w:rsidR="00A437E1">
            <w:rPr>
              <w:noProof/>
            </w:rPr>
            <w:t>35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437E1">
            <w:fldChar w:fldCharType="separate"/>
          </w:r>
          <w:r w:rsidR="00A437E1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565D4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44" w:rsidRDefault="00565D44">
      <w:pPr>
        <w:spacing w:after="0" w:line="240" w:lineRule="auto"/>
      </w:pPr>
      <w:r>
        <w:separator/>
      </w:r>
    </w:p>
  </w:footnote>
  <w:footnote w:type="continuationSeparator" w:id="0">
    <w:p w:rsidR="00565D44" w:rsidRDefault="0056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9142-2014. Межгосударственный стандарт. Ящики из гофрированного картона. Общие технические условия"</w:t>
          </w:r>
          <w:r>
            <w:rPr>
              <w:sz w:val="16"/>
              <w:szCs w:val="16"/>
            </w:rPr>
            <w:br/>
            <w:t>(введен в дейс...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65D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565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5D4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9142-2014. Межгосударственный стандарт. Ящики из гофрированного картона. Общие технические условия"</w:t>
          </w:r>
          <w:r>
            <w:rPr>
              <w:sz w:val="16"/>
              <w:szCs w:val="16"/>
            </w:rPr>
            <w:br/>
            <w:t>(введен в дейс...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65D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565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5D4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9142-2014. Межгосударственный стандарт. Ящики из гофрированного картона. Общие технические условия"</w:t>
          </w:r>
          <w:r>
            <w:rPr>
              <w:sz w:val="16"/>
              <w:szCs w:val="16"/>
            </w:rPr>
            <w:br/>
            <w:t>(введен в дейс...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65D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D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565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5D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857E1"/>
    <w:rsid w:val="00565D44"/>
    <w:rsid w:val="008857E1"/>
    <w:rsid w:val="00A4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2.xml"/><Relationship Id="rId47" Type="http://schemas.openxmlformats.org/officeDocument/2006/relationships/image" Target="media/image38.png"/><Relationship Id="rId50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3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1.xml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5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2.xml"/><Relationship Id="rId48" Type="http://schemas.openxmlformats.org/officeDocument/2006/relationships/image" Target="media/image39.png"/><Relationship Id="rId8" Type="http://schemas.openxmlformats.org/officeDocument/2006/relationships/image" Target="media/image3.png"/><Relationship Id="rId51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7715</Words>
  <Characters>43980</Characters>
  <Application>Microsoft Office Word</Application>
  <DocSecurity>2</DocSecurity>
  <Lines>366</Lines>
  <Paragraphs>103</Paragraphs>
  <ScaleCrop>false</ScaleCrop>
  <Company>КонсультантПлюс Версия 4017.00.98</Company>
  <LinksUpToDate>false</LinksUpToDate>
  <CharactersWithSpaces>51592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9142-2014. Межгосударственный стандарт. Ящики из гофрированного картона. Общие технические условия"(введен в действие Приказом Росстандарта от 20.05.2015 N 386-ст)</dc:title>
  <dc:subject/>
  <dc:creator>Admin</dc:creator>
  <cp:keywords/>
  <dc:description/>
  <cp:lastModifiedBy>Admin</cp:lastModifiedBy>
  <cp:revision>2</cp:revision>
  <dcterms:created xsi:type="dcterms:W3CDTF">2018-10-08T08:20:00Z</dcterms:created>
  <dcterms:modified xsi:type="dcterms:W3CDTF">2018-10-08T08:20:00Z</dcterms:modified>
</cp:coreProperties>
</file>